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BA" w:rsidRPr="00002448" w:rsidRDefault="006E3BBA" w:rsidP="006E3BBA">
      <w:pPr>
        <w:tabs>
          <w:tab w:val="left" w:pos="709"/>
        </w:tabs>
        <w:jc w:val="center"/>
        <w:rPr>
          <w:rFonts w:ascii="Arial" w:hAnsi="Arial" w:cs="Arial"/>
          <w:b/>
          <w:bCs/>
          <w:sz w:val="22"/>
          <w:szCs w:val="22"/>
          <w:u w:val="single"/>
        </w:rPr>
      </w:pPr>
      <w:r w:rsidRPr="00002448">
        <w:rPr>
          <w:rFonts w:ascii="Arial" w:hAnsi="Arial" w:cs="Arial"/>
          <w:b/>
          <w:bCs/>
          <w:sz w:val="22"/>
          <w:szCs w:val="22"/>
          <w:u w:val="single"/>
        </w:rPr>
        <w:t xml:space="preserve">CORPORATE SUMMARY </w:t>
      </w:r>
    </w:p>
    <w:p w:rsidR="006E3BBA" w:rsidRPr="00563A52" w:rsidRDefault="006E3BBA" w:rsidP="006E3BBA">
      <w:pPr>
        <w:jc w:val="center"/>
        <w:rPr>
          <w:rFonts w:ascii="Arial" w:hAnsi="Arial" w:cs="Arial"/>
          <w:b/>
          <w:bCs/>
          <w:sz w:val="22"/>
          <w:szCs w:val="22"/>
        </w:rPr>
      </w:pPr>
    </w:p>
    <w:p w:rsidR="006E3BBA" w:rsidRPr="00563A52" w:rsidRDefault="006E3BBA" w:rsidP="006E3BBA">
      <w:pPr>
        <w:rPr>
          <w:rFonts w:ascii="Arial" w:hAnsi="Arial" w:cs="Arial"/>
          <w:b/>
          <w:bCs/>
          <w:sz w:val="22"/>
          <w:szCs w:val="22"/>
        </w:rPr>
      </w:pPr>
    </w:p>
    <w:p w:rsidR="006E3BBA" w:rsidRPr="002F564B" w:rsidRDefault="006E3BBA" w:rsidP="00072889">
      <w:pPr>
        <w:numPr>
          <w:ilvl w:val="0"/>
          <w:numId w:val="4"/>
        </w:numPr>
        <w:tabs>
          <w:tab w:val="clear" w:pos="1080"/>
          <w:tab w:val="num" w:pos="720"/>
        </w:tabs>
        <w:ind w:hanging="796"/>
        <w:rPr>
          <w:rFonts w:ascii="Arial" w:hAnsi="Arial" w:cs="Arial"/>
          <w:b/>
          <w:bCs/>
          <w:sz w:val="22"/>
          <w:szCs w:val="22"/>
          <w:u w:val="single"/>
        </w:rPr>
      </w:pPr>
      <w:r w:rsidRPr="002F564B">
        <w:rPr>
          <w:rFonts w:ascii="Arial" w:hAnsi="Arial" w:cs="Arial"/>
          <w:b/>
          <w:bCs/>
          <w:sz w:val="22"/>
          <w:szCs w:val="22"/>
          <w:u w:val="single"/>
        </w:rPr>
        <w:t>O</w:t>
      </w:r>
      <w:r w:rsidR="002F564B" w:rsidRPr="002F564B">
        <w:rPr>
          <w:rFonts w:ascii="Arial" w:hAnsi="Arial" w:cs="Arial"/>
          <w:b/>
          <w:bCs/>
          <w:sz w:val="22"/>
          <w:szCs w:val="22"/>
          <w:u w:val="single"/>
        </w:rPr>
        <w:t>verall Summary Position</w:t>
      </w:r>
    </w:p>
    <w:p w:rsidR="006E3BBA" w:rsidRDefault="006E3BBA" w:rsidP="006E3BBA">
      <w:pPr>
        <w:rPr>
          <w:rFonts w:ascii="Arial" w:hAnsi="Arial" w:cs="Arial"/>
          <w:bCs/>
          <w:sz w:val="22"/>
          <w:szCs w:val="22"/>
        </w:rPr>
      </w:pPr>
    </w:p>
    <w:p w:rsidR="00A609C1" w:rsidRDefault="00072889" w:rsidP="00072889">
      <w:pPr>
        <w:ind w:left="720" w:hanging="436"/>
        <w:rPr>
          <w:rFonts w:ascii="Arial" w:hAnsi="Arial" w:cs="Arial"/>
          <w:bCs/>
          <w:sz w:val="22"/>
          <w:szCs w:val="22"/>
        </w:rPr>
      </w:pPr>
      <w:r w:rsidRPr="00B00048">
        <w:rPr>
          <w:rFonts w:ascii="Arial" w:hAnsi="Arial" w:cs="Arial"/>
          <w:bCs/>
          <w:sz w:val="22"/>
          <w:szCs w:val="22"/>
        </w:rPr>
        <w:t>1.1</w:t>
      </w:r>
      <w:r w:rsidRPr="00B00048">
        <w:rPr>
          <w:rFonts w:ascii="Arial" w:hAnsi="Arial" w:cs="Arial"/>
          <w:bCs/>
          <w:sz w:val="22"/>
          <w:szCs w:val="22"/>
        </w:rPr>
        <w:tab/>
      </w:r>
      <w:r w:rsidR="00A609C1" w:rsidRPr="00B00048">
        <w:rPr>
          <w:rFonts w:ascii="Arial" w:hAnsi="Arial" w:cs="Arial"/>
          <w:bCs/>
          <w:sz w:val="22"/>
          <w:szCs w:val="22"/>
        </w:rPr>
        <w:t xml:space="preserve">The overall financial position </w:t>
      </w:r>
      <w:r w:rsidR="002A3BA3">
        <w:rPr>
          <w:rFonts w:ascii="Arial" w:hAnsi="Arial" w:cs="Arial"/>
          <w:bCs/>
          <w:sz w:val="22"/>
          <w:szCs w:val="22"/>
        </w:rPr>
        <w:t xml:space="preserve">as at the end of September 2015 </w:t>
      </w:r>
      <w:r w:rsidR="00A609C1" w:rsidRPr="00B00048">
        <w:rPr>
          <w:rFonts w:ascii="Arial" w:hAnsi="Arial" w:cs="Arial"/>
          <w:bCs/>
          <w:sz w:val="22"/>
          <w:szCs w:val="22"/>
        </w:rPr>
        <w:t xml:space="preserve">is </w:t>
      </w:r>
      <w:r w:rsidR="00EB2CDE" w:rsidRPr="00B00048">
        <w:rPr>
          <w:rFonts w:ascii="Arial" w:hAnsi="Arial" w:cs="Arial"/>
          <w:bCs/>
          <w:sz w:val="22"/>
          <w:szCs w:val="22"/>
        </w:rPr>
        <w:t xml:space="preserve">showing </w:t>
      </w:r>
      <w:r w:rsidR="002A3BA3">
        <w:rPr>
          <w:rFonts w:ascii="Arial" w:hAnsi="Arial" w:cs="Arial"/>
          <w:bCs/>
          <w:sz w:val="22"/>
          <w:szCs w:val="22"/>
        </w:rPr>
        <w:t xml:space="preserve">a </w:t>
      </w:r>
      <w:r w:rsidR="00EB2CDE" w:rsidRPr="00B00048">
        <w:rPr>
          <w:rFonts w:ascii="Arial" w:hAnsi="Arial" w:cs="Arial"/>
          <w:bCs/>
          <w:sz w:val="22"/>
          <w:szCs w:val="22"/>
        </w:rPr>
        <w:t xml:space="preserve">net </w:t>
      </w:r>
      <w:proofErr w:type="gramStart"/>
      <w:r w:rsidR="002A3BA3">
        <w:rPr>
          <w:rFonts w:ascii="Arial" w:hAnsi="Arial" w:cs="Arial"/>
          <w:bCs/>
          <w:sz w:val="22"/>
          <w:szCs w:val="22"/>
        </w:rPr>
        <w:t>overspend</w:t>
      </w:r>
      <w:proofErr w:type="gramEnd"/>
      <w:r w:rsidR="002A3BA3">
        <w:rPr>
          <w:rFonts w:ascii="Arial" w:hAnsi="Arial" w:cs="Arial"/>
          <w:bCs/>
          <w:sz w:val="22"/>
          <w:szCs w:val="22"/>
        </w:rPr>
        <w:t xml:space="preserve"> of </w:t>
      </w:r>
      <w:r w:rsidR="00FC094F">
        <w:rPr>
          <w:rFonts w:ascii="Arial" w:hAnsi="Arial" w:cs="Arial"/>
          <w:bCs/>
          <w:sz w:val="22"/>
          <w:szCs w:val="22"/>
        </w:rPr>
        <w:t>£0.136 million</w:t>
      </w:r>
      <w:r w:rsidR="00EB2CDE" w:rsidRPr="00B00048">
        <w:rPr>
          <w:rFonts w:ascii="Arial" w:hAnsi="Arial" w:cs="Arial"/>
          <w:bCs/>
          <w:sz w:val="22"/>
          <w:szCs w:val="22"/>
        </w:rPr>
        <w:t xml:space="preserve"> </w:t>
      </w:r>
      <w:r w:rsidR="00FC094F">
        <w:rPr>
          <w:rFonts w:ascii="Arial" w:hAnsi="Arial" w:cs="Arial"/>
          <w:bCs/>
          <w:sz w:val="22"/>
          <w:szCs w:val="22"/>
        </w:rPr>
        <w:t xml:space="preserve">due </w:t>
      </w:r>
      <w:r w:rsidR="00440EDF">
        <w:rPr>
          <w:rFonts w:ascii="Arial" w:hAnsi="Arial" w:cs="Arial"/>
          <w:bCs/>
          <w:sz w:val="22"/>
          <w:szCs w:val="22"/>
        </w:rPr>
        <w:t>to lower investment income</w:t>
      </w:r>
      <w:r w:rsidR="002A3BA3">
        <w:rPr>
          <w:rFonts w:ascii="Arial" w:hAnsi="Arial" w:cs="Arial"/>
          <w:bCs/>
          <w:sz w:val="22"/>
          <w:szCs w:val="22"/>
        </w:rPr>
        <w:t xml:space="preserve"> than anticipated</w:t>
      </w:r>
      <w:r w:rsidR="008421E9" w:rsidRPr="00B00048">
        <w:rPr>
          <w:rFonts w:ascii="Arial" w:hAnsi="Arial" w:cs="Arial"/>
          <w:bCs/>
          <w:sz w:val="22"/>
          <w:szCs w:val="22"/>
        </w:rPr>
        <w:t xml:space="preserve">.  The </w:t>
      </w:r>
      <w:r w:rsidR="00A609C1" w:rsidRPr="00B00048">
        <w:rPr>
          <w:rFonts w:ascii="Arial" w:hAnsi="Arial" w:cs="Arial"/>
          <w:bCs/>
          <w:sz w:val="22"/>
          <w:szCs w:val="22"/>
        </w:rPr>
        <w:t>Housing Revenue Account</w:t>
      </w:r>
      <w:r w:rsidR="003D1007" w:rsidRPr="00B00048">
        <w:rPr>
          <w:rFonts w:ascii="Arial" w:hAnsi="Arial" w:cs="Arial"/>
          <w:bCs/>
          <w:sz w:val="22"/>
          <w:szCs w:val="22"/>
        </w:rPr>
        <w:t xml:space="preserve"> is forecast </w:t>
      </w:r>
      <w:r w:rsidR="002A3BA3">
        <w:rPr>
          <w:rFonts w:ascii="Arial" w:hAnsi="Arial" w:cs="Arial"/>
          <w:bCs/>
          <w:sz w:val="22"/>
          <w:szCs w:val="22"/>
        </w:rPr>
        <w:t>to be</w:t>
      </w:r>
      <w:r w:rsidR="00734299">
        <w:rPr>
          <w:rFonts w:ascii="Arial" w:hAnsi="Arial" w:cs="Arial"/>
          <w:bCs/>
          <w:sz w:val="22"/>
          <w:szCs w:val="22"/>
        </w:rPr>
        <w:t xml:space="preserve"> </w:t>
      </w:r>
      <w:r w:rsidR="003D1007" w:rsidRPr="00B00048">
        <w:rPr>
          <w:rFonts w:ascii="Arial" w:hAnsi="Arial" w:cs="Arial"/>
          <w:bCs/>
          <w:sz w:val="22"/>
          <w:szCs w:val="22"/>
        </w:rPr>
        <w:t>on target overall</w:t>
      </w:r>
      <w:r w:rsidR="008421E9" w:rsidRPr="00B00048">
        <w:rPr>
          <w:rFonts w:ascii="Arial" w:hAnsi="Arial" w:cs="Arial"/>
          <w:bCs/>
          <w:sz w:val="22"/>
          <w:szCs w:val="22"/>
        </w:rPr>
        <w:t>.</w:t>
      </w:r>
      <w:r w:rsidR="008E2C7E" w:rsidRPr="00B00048">
        <w:rPr>
          <w:rFonts w:ascii="Arial" w:hAnsi="Arial" w:cs="Arial"/>
          <w:bCs/>
          <w:sz w:val="22"/>
          <w:szCs w:val="22"/>
        </w:rPr>
        <w:t xml:space="preserve">  </w:t>
      </w:r>
      <w:r w:rsidR="002A3BA3">
        <w:rPr>
          <w:rFonts w:ascii="Arial" w:hAnsi="Arial" w:cs="Arial"/>
          <w:bCs/>
          <w:sz w:val="22"/>
          <w:szCs w:val="22"/>
        </w:rPr>
        <w:t xml:space="preserve">The </w:t>
      </w:r>
      <w:r w:rsidR="008E2C7E" w:rsidRPr="00B00048">
        <w:rPr>
          <w:rFonts w:ascii="Arial" w:hAnsi="Arial" w:cs="Arial"/>
          <w:bCs/>
          <w:sz w:val="22"/>
          <w:szCs w:val="22"/>
        </w:rPr>
        <w:t>Capital</w:t>
      </w:r>
      <w:r w:rsidR="008E2C7E">
        <w:rPr>
          <w:rFonts w:ascii="Arial" w:hAnsi="Arial" w:cs="Arial"/>
          <w:bCs/>
          <w:sz w:val="22"/>
          <w:szCs w:val="22"/>
        </w:rPr>
        <w:t xml:space="preserve"> </w:t>
      </w:r>
      <w:r w:rsidR="002A3BA3">
        <w:rPr>
          <w:rFonts w:ascii="Arial" w:hAnsi="Arial" w:cs="Arial"/>
          <w:bCs/>
          <w:sz w:val="22"/>
          <w:szCs w:val="22"/>
        </w:rPr>
        <w:t>Programme is</w:t>
      </w:r>
      <w:r w:rsidR="00EB2CDE">
        <w:rPr>
          <w:rFonts w:ascii="Arial" w:hAnsi="Arial" w:cs="Arial"/>
          <w:bCs/>
          <w:sz w:val="22"/>
          <w:szCs w:val="22"/>
        </w:rPr>
        <w:t xml:space="preserve"> forecast </w:t>
      </w:r>
      <w:r w:rsidR="00B00048">
        <w:rPr>
          <w:rFonts w:ascii="Arial" w:hAnsi="Arial" w:cs="Arial"/>
          <w:bCs/>
          <w:sz w:val="22"/>
          <w:szCs w:val="22"/>
        </w:rPr>
        <w:t xml:space="preserve">to spend less than budget by £10.9 million; £6.3 million </w:t>
      </w:r>
      <w:r w:rsidR="00525440">
        <w:rPr>
          <w:rFonts w:ascii="Arial" w:hAnsi="Arial" w:cs="Arial"/>
          <w:bCs/>
          <w:sz w:val="22"/>
          <w:szCs w:val="22"/>
        </w:rPr>
        <w:t xml:space="preserve">of which </w:t>
      </w:r>
      <w:r w:rsidR="00B00048">
        <w:rPr>
          <w:rFonts w:ascii="Arial" w:hAnsi="Arial" w:cs="Arial"/>
          <w:bCs/>
          <w:sz w:val="22"/>
          <w:szCs w:val="22"/>
        </w:rPr>
        <w:t>relat</w:t>
      </w:r>
      <w:r w:rsidR="00525440">
        <w:rPr>
          <w:rFonts w:ascii="Arial" w:hAnsi="Arial" w:cs="Arial"/>
          <w:bCs/>
          <w:sz w:val="22"/>
          <w:szCs w:val="22"/>
        </w:rPr>
        <w:t>es</w:t>
      </w:r>
      <w:r w:rsidR="00B00048">
        <w:rPr>
          <w:rFonts w:ascii="Arial" w:hAnsi="Arial" w:cs="Arial"/>
          <w:bCs/>
          <w:sz w:val="22"/>
          <w:szCs w:val="22"/>
        </w:rPr>
        <w:t xml:space="preserve"> to positive action to defer expenditure on uncommitted capital schemes.</w:t>
      </w:r>
    </w:p>
    <w:p w:rsidR="00A609C1" w:rsidRPr="00A609C1" w:rsidRDefault="00A609C1" w:rsidP="006E3BBA">
      <w:pPr>
        <w:ind w:left="720"/>
        <w:rPr>
          <w:rFonts w:ascii="Arial" w:hAnsi="Arial" w:cs="Arial"/>
          <w:bCs/>
          <w:sz w:val="22"/>
          <w:szCs w:val="22"/>
        </w:rPr>
      </w:pPr>
    </w:p>
    <w:p w:rsidR="00FA37EB" w:rsidRDefault="00072889" w:rsidP="00072889">
      <w:pPr>
        <w:ind w:left="720" w:hanging="436"/>
        <w:rPr>
          <w:rFonts w:ascii="Arial" w:hAnsi="Arial" w:cs="Arial"/>
          <w:bCs/>
          <w:sz w:val="22"/>
          <w:szCs w:val="22"/>
        </w:rPr>
      </w:pPr>
      <w:r w:rsidRPr="009B2677">
        <w:rPr>
          <w:rFonts w:ascii="Arial" w:hAnsi="Arial" w:cs="Arial"/>
          <w:bCs/>
          <w:sz w:val="22"/>
          <w:szCs w:val="22"/>
        </w:rPr>
        <w:t>1.2</w:t>
      </w:r>
      <w:r w:rsidRPr="009B2677">
        <w:rPr>
          <w:rFonts w:ascii="Arial" w:hAnsi="Arial" w:cs="Arial"/>
          <w:bCs/>
          <w:sz w:val="22"/>
          <w:szCs w:val="22"/>
        </w:rPr>
        <w:tab/>
      </w:r>
      <w:r w:rsidR="00FA37EB" w:rsidRPr="00FA37EB">
        <w:rPr>
          <w:rFonts w:ascii="Arial" w:hAnsi="Arial" w:cs="Arial"/>
          <w:bCs/>
          <w:sz w:val="22"/>
          <w:szCs w:val="22"/>
        </w:rPr>
        <w:t xml:space="preserve">Of the </w:t>
      </w:r>
      <w:r w:rsidR="00525440">
        <w:rPr>
          <w:rFonts w:ascii="Arial" w:hAnsi="Arial" w:cs="Arial"/>
          <w:bCs/>
          <w:sz w:val="22"/>
          <w:szCs w:val="22"/>
        </w:rPr>
        <w:t>c</w:t>
      </w:r>
      <w:r w:rsidR="00FA37EB" w:rsidRPr="00FA37EB">
        <w:rPr>
          <w:rFonts w:ascii="Arial" w:hAnsi="Arial" w:cs="Arial"/>
          <w:bCs/>
          <w:sz w:val="22"/>
          <w:szCs w:val="22"/>
        </w:rPr>
        <w:t>orporate performance targets, 14 (74%) are being delivered as planned, 3 (16%) are below target but within acceptable tolerance limits and 2 (1</w:t>
      </w:r>
      <w:r w:rsidR="00440EDF">
        <w:rPr>
          <w:rFonts w:ascii="Arial" w:hAnsi="Arial" w:cs="Arial"/>
          <w:bCs/>
          <w:sz w:val="22"/>
          <w:szCs w:val="22"/>
        </w:rPr>
        <w:t>0</w:t>
      </w:r>
      <w:r w:rsidR="00FA37EB" w:rsidRPr="00FA37EB">
        <w:rPr>
          <w:rFonts w:ascii="Arial" w:hAnsi="Arial" w:cs="Arial"/>
          <w:bCs/>
          <w:sz w:val="22"/>
          <w:szCs w:val="22"/>
        </w:rPr>
        <w:t>%) are not meeting their target.</w:t>
      </w:r>
    </w:p>
    <w:p w:rsidR="00FA37EB" w:rsidRDefault="00FA37EB" w:rsidP="00072889">
      <w:pPr>
        <w:ind w:left="720" w:hanging="436"/>
        <w:rPr>
          <w:rFonts w:ascii="Arial" w:hAnsi="Arial" w:cs="Arial"/>
          <w:bCs/>
          <w:sz w:val="22"/>
          <w:szCs w:val="22"/>
        </w:rPr>
      </w:pPr>
    </w:p>
    <w:p w:rsidR="006E3BBA" w:rsidRDefault="00FA37EB" w:rsidP="00072889">
      <w:pPr>
        <w:ind w:left="720" w:hanging="436"/>
        <w:rPr>
          <w:rFonts w:ascii="Arial" w:hAnsi="Arial" w:cs="Arial"/>
          <w:bCs/>
          <w:sz w:val="22"/>
          <w:szCs w:val="22"/>
        </w:rPr>
      </w:pPr>
      <w:r w:rsidRPr="00B00048">
        <w:rPr>
          <w:rFonts w:ascii="Arial" w:hAnsi="Arial" w:cs="Arial"/>
          <w:bCs/>
          <w:sz w:val="22"/>
          <w:szCs w:val="22"/>
        </w:rPr>
        <w:t>1.3</w:t>
      </w:r>
      <w:r w:rsidRPr="00B00048">
        <w:rPr>
          <w:rFonts w:ascii="Arial" w:hAnsi="Arial" w:cs="Arial"/>
          <w:bCs/>
          <w:sz w:val="22"/>
          <w:szCs w:val="22"/>
        </w:rPr>
        <w:tab/>
      </w:r>
      <w:r w:rsidR="00FF5FAC" w:rsidRPr="00B00048">
        <w:rPr>
          <w:rFonts w:ascii="Arial" w:hAnsi="Arial" w:cs="Arial"/>
          <w:bCs/>
          <w:sz w:val="22"/>
          <w:szCs w:val="22"/>
        </w:rPr>
        <w:t xml:space="preserve">There are </w:t>
      </w:r>
      <w:r w:rsidR="00EB2CDE" w:rsidRPr="00B00048">
        <w:rPr>
          <w:rFonts w:ascii="Arial" w:hAnsi="Arial" w:cs="Arial"/>
          <w:bCs/>
          <w:sz w:val="22"/>
          <w:szCs w:val="22"/>
        </w:rPr>
        <w:t>two</w:t>
      </w:r>
      <w:r w:rsidR="00FF5FAC" w:rsidRPr="00B00048">
        <w:rPr>
          <w:rFonts w:ascii="Arial" w:hAnsi="Arial" w:cs="Arial"/>
          <w:bCs/>
          <w:sz w:val="22"/>
          <w:szCs w:val="22"/>
        </w:rPr>
        <w:t xml:space="preserve"> red corporate risks</w:t>
      </w:r>
      <w:r w:rsidR="00B00048" w:rsidRPr="00B00048">
        <w:rPr>
          <w:rFonts w:ascii="Arial" w:hAnsi="Arial" w:cs="Arial"/>
          <w:bCs/>
          <w:sz w:val="22"/>
          <w:szCs w:val="22"/>
        </w:rPr>
        <w:t xml:space="preserve"> which are detailed below</w:t>
      </w:r>
      <w:r w:rsidR="00FF5FAC" w:rsidRPr="00B00048">
        <w:rPr>
          <w:rFonts w:ascii="Arial" w:hAnsi="Arial" w:cs="Arial"/>
          <w:bCs/>
          <w:sz w:val="22"/>
          <w:szCs w:val="22"/>
        </w:rPr>
        <w:t>.</w:t>
      </w:r>
    </w:p>
    <w:p w:rsidR="006E3BBA" w:rsidRPr="00B27023" w:rsidRDefault="006E3BBA" w:rsidP="006E3BBA">
      <w:pPr>
        <w:ind w:left="720"/>
        <w:rPr>
          <w:rFonts w:ascii="Arial" w:hAnsi="Arial" w:cs="Arial"/>
          <w:bCs/>
          <w:sz w:val="22"/>
          <w:szCs w:val="22"/>
        </w:rPr>
      </w:pPr>
    </w:p>
    <w:p w:rsidR="006E3BBA" w:rsidRPr="002F564B" w:rsidRDefault="006E3BBA" w:rsidP="00EB3859">
      <w:pPr>
        <w:numPr>
          <w:ilvl w:val="0"/>
          <w:numId w:val="4"/>
        </w:numPr>
        <w:tabs>
          <w:tab w:val="clear" w:pos="1080"/>
          <w:tab w:val="num" w:pos="709"/>
        </w:tabs>
        <w:ind w:hanging="796"/>
        <w:rPr>
          <w:rFonts w:ascii="Arial" w:hAnsi="Arial" w:cs="Arial"/>
          <w:b/>
          <w:bCs/>
          <w:sz w:val="22"/>
          <w:szCs w:val="22"/>
          <w:u w:val="single"/>
        </w:rPr>
      </w:pPr>
      <w:r w:rsidRPr="002F564B">
        <w:rPr>
          <w:rFonts w:ascii="Arial" w:hAnsi="Arial" w:cs="Arial"/>
          <w:b/>
          <w:bCs/>
          <w:sz w:val="22"/>
          <w:szCs w:val="22"/>
          <w:u w:val="single"/>
        </w:rPr>
        <w:t>F</w:t>
      </w:r>
      <w:r w:rsidR="002F564B" w:rsidRPr="002F564B">
        <w:rPr>
          <w:rFonts w:ascii="Arial" w:hAnsi="Arial" w:cs="Arial"/>
          <w:b/>
          <w:bCs/>
          <w:sz w:val="22"/>
          <w:szCs w:val="22"/>
          <w:u w:val="single"/>
        </w:rPr>
        <w:t>inance Overall and Corporate Budgets</w:t>
      </w:r>
    </w:p>
    <w:p w:rsidR="006E3BBA" w:rsidRPr="00D31CC1" w:rsidRDefault="006E3BBA" w:rsidP="006E3BBA">
      <w:pPr>
        <w:ind w:left="720"/>
        <w:rPr>
          <w:rFonts w:ascii="Arial" w:hAnsi="Arial" w:cs="Arial"/>
          <w:bCs/>
          <w:sz w:val="22"/>
          <w:szCs w:val="22"/>
        </w:rPr>
      </w:pPr>
    </w:p>
    <w:p w:rsidR="006E3BBA" w:rsidRPr="00EB3859" w:rsidRDefault="006E3BBA" w:rsidP="006E3BBA">
      <w:pPr>
        <w:ind w:left="720"/>
        <w:rPr>
          <w:rFonts w:ascii="Arial" w:hAnsi="Arial" w:cs="Arial"/>
          <w:b/>
          <w:bCs/>
          <w:sz w:val="22"/>
          <w:szCs w:val="22"/>
        </w:rPr>
      </w:pPr>
      <w:r w:rsidRPr="00EB3859">
        <w:rPr>
          <w:rFonts w:ascii="Arial" w:hAnsi="Arial" w:cs="Arial"/>
          <w:b/>
          <w:bCs/>
          <w:sz w:val="22"/>
          <w:szCs w:val="22"/>
        </w:rPr>
        <w:t>General Fund</w:t>
      </w:r>
    </w:p>
    <w:p w:rsidR="006E3BBA" w:rsidRDefault="00EB3859" w:rsidP="00EB3859">
      <w:pPr>
        <w:ind w:left="720" w:hanging="436"/>
        <w:rPr>
          <w:rFonts w:ascii="Arial" w:hAnsi="Arial" w:cs="Arial"/>
          <w:bCs/>
          <w:sz w:val="22"/>
          <w:szCs w:val="22"/>
        </w:rPr>
      </w:pPr>
      <w:r w:rsidRPr="00B00048">
        <w:rPr>
          <w:rFonts w:ascii="Arial" w:hAnsi="Arial" w:cs="Arial"/>
          <w:bCs/>
          <w:sz w:val="22"/>
          <w:szCs w:val="22"/>
        </w:rPr>
        <w:t>2.1</w:t>
      </w:r>
      <w:r w:rsidRPr="00B00048">
        <w:rPr>
          <w:rFonts w:ascii="Arial" w:hAnsi="Arial" w:cs="Arial"/>
          <w:bCs/>
          <w:sz w:val="22"/>
          <w:szCs w:val="22"/>
        </w:rPr>
        <w:tab/>
      </w:r>
      <w:r w:rsidR="006E3BBA" w:rsidRPr="00B00048">
        <w:rPr>
          <w:rFonts w:ascii="Arial" w:hAnsi="Arial" w:cs="Arial"/>
          <w:bCs/>
          <w:sz w:val="22"/>
          <w:szCs w:val="22"/>
        </w:rPr>
        <w:t xml:space="preserve">The forecast General Fund outturn </w:t>
      </w:r>
      <w:r w:rsidR="00A609C1" w:rsidRPr="00B00048">
        <w:rPr>
          <w:rFonts w:ascii="Arial" w:hAnsi="Arial" w:cs="Arial"/>
          <w:bCs/>
          <w:sz w:val="22"/>
          <w:szCs w:val="22"/>
        </w:rPr>
        <w:t xml:space="preserve">as at the end of Quarter </w:t>
      </w:r>
      <w:r w:rsidR="008E2C7E" w:rsidRPr="00B00048">
        <w:rPr>
          <w:rFonts w:ascii="Arial" w:hAnsi="Arial" w:cs="Arial"/>
          <w:bCs/>
          <w:sz w:val="22"/>
          <w:szCs w:val="22"/>
        </w:rPr>
        <w:t>2</w:t>
      </w:r>
      <w:r w:rsidR="00A609C1" w:rsidRPr="00B00048">
        <w:rPr>
          <w:rFonts w:ascii="Arial" w:hAnsi="Arial" w:cs="Arial"/>
          <w:bCs/>
          <w:sz w:val="22"/>
          <w:szCs w:val="22"/>
        </w:rPr>
        <w:t xml:space="preserve"> </w:t>
      </w:r>
      <w:r w:rsidR="008421E9" w:rsidRPr="00B00048">
        <w:rPr>
          <w:rFonts w:ascii="Arial" w:hAnsi="Arial" w:cs="Arial"/>
          <w:bCs/>
          <w:sz w:val="22"/>
          <w:szCs w:val="22"/>
        </w:rPr>
        <w:t>shows</w:t>
      </w:r>
      <w:r w:rsidR="006E3BBA" w:rsidRPr="00B00048">
        <w:rPr>
          <w:rFonts w:ascii="Arial" w:hAnsi="Arial" w:cs="Arial"/>
          <w:bCs/>
          <w:sz w:val="22"/>
          <w:szCs w:val="22"/>
        </w:rPr>
        <w:t xml:space="preserve"> </w:t>
      </w:r>
      <w:r w:rsidR="00525440">
        <w:rPr>
          <w:rFonts w:ascii="Arial" w:hAnsi="Arial" w:cs="Arial"/>
          <w:bCs/>
          <w:sz w:val="22"/>
          <w:szCs w:val="22"/>
        </w:rPr>
        <w:t xml:space="preserve">service expenditure </w:t>
      </w:r>
      <w:r w:rsidR="006E3BBA" w:rsidRPr="00B00048">
        <w:rPr>
          <w:rFonts w:ascii="Arial" w:hAnsi="Arial" w:cs="Arial"/>
          <w:bCs/>
          <w:sz w:val="22"/>
          <w:szCs w:val="22"/>
        </w:rPr>
        <w:t>£</w:t>
      </w:r>
      <w:r w:rsidR="008421E9" w:rsidRPr="00B00048">
        <w:rPr>
          <w:rFonts w:ascii="Arial" w:hAnsi="Arial" w:cs="Arial"/>
          <w:bCs/>
          <w:sz w:val="22"/>
          <w:szCs w:val="22"/>
        </w:rPr>
        <w:t>0.</w:t>
      </w:r>
      <w:r w:rsidR="00FC094F">
        <w:rPr>
          <w:rFonts w:ascii="Arial" w:hAnsi="Arial" w:cs="Arial"/>
          <w:bCs/>
          <w:sz w:val="22"/>
          <w:szCs w:val="22"/>
        </w:rPr>
        <w:t>450</w:t>
      </w:r>
      <w:r w:rsidR="006E3BBA" w:rsidRPr="00B00048">
        <w:rPr>
          <w:rFonts w:ascii="Arial" w:hAnsi="Arial" w:cs="Arial"/>
          <w:bCs/>
          <w:sz w:val="22"/>
          <w:szCs w:val="22"/>
        </w:rPr>
        <w:t xml:space="preserve"> million </w:t>
      </w:r>
      <w:r w:rsidR="00B27F5F">
        <w:rPr>
          <w:rFonts w:ascii="Arial" w:hAnsi="Arial" w:cs="Arial"/>
          <w:bCs/>
          <w:sz w:val="22"/>
          <w:szCs w:val="22"/>
        </w:rPr>
        <w:t>over budget</w:t>
      </w:r>
      <w:r w:rsidR="00B00048">
        <w:rPr>
          <w:rFonts w:ascii="Arial" w:hAnsi="Arial" w:cs="Arial"/>
          <w:bCs/>
          <w:sz w:val="22"/>
          <w:szCs w:val="22"/>
        </w:rPr>
        <w:t xml:space="preserve"> which is mitigated by a £0.200 million use of corporate contingency</w:t>
      </w:r>
      <w:r w:rsidR="00FC094F">
        <w:rPr>
          <w:rFonts w:ascii="Arial" w:hAnsi="Arial" w:cs="Arial"/>
          <w:bCs/>
          <w:sz w:val="22"/>
          <w:szCs w:val="22"/>
        </w:rPr>
        <w:t xml:space="preserve"> and a </w:t>
      </w:r>
      <w:r w:rsidR="00B27F5F">
        <w:rPr>
          <w:rFonts w:ascii="Arial" w:hAnsi="Arial" w:cs="Arial"/>
          <w:bCs/>
          <w:sz w:val="22"/>
          <w:szCs w:val="22"/>
        </w:rPr>
        <w:t>technical virement of</w:t>
      </w:r>
      <w:r w:rsidR="00FC094F">
        <w:rPr>
          <w:rFonts w:ascii="Arial" w:hAnsi="Arial" w:cs="Arial"/>
          <w:bCs/>
          <w:sz w:val="22"/>
          <w:szCs w:val="22"/>
        </w:rPr>
        <w:t xml:space="preserve"> £0.250 million from </w:t>
      </w:r>
      <w:r w:rsidR="00772AA3">
        <w:rPr>
          <w:rFonts w:ascii="Arial" w:hAnsi="Arial" w:cs="Arial"/>
          <w:bCs/>
          <w:sz w:val="22"/>
          <w:szCs w:val="22"/>
        </w:rPr>
        <w:t>revenue contributions to Capital.</w:t>
      </w:r>
    </w:p>
    <w:p w:rsidR="008E2C7E" w:rsidRDefault="008E2C7E" w:rsidP="00EB3859">
      <w:pPr>
        <w:ind w:left="720" w:hanging="436"/>
        <w:rPr>
          <w:rFonts w:ascii="Arial" w:hAnsi="Arial" w:cs="Arial"/>
          <w:bCs/>
          <w:sz w:val="22"/>
          <w:szCs w:val="22"/>
        </w:rPr>
      </w:pPr>
    </w:p>
    <w:p w:rsidR="008E2C7E" w:rsidRPr="008E2C7E" w:rsidRDefault="008E2C7E" w:rsidP="008E2C7E">
      <w:pPr>
        <w:ind w:left="720" w:hanging="11"/>
        <w:rPr>
          <w:rFonts w:ascii="Arial" w:hAnsi="Arial" w:cs="Arial"/>
          <w:bCs/>
          <w:sz w:val="22"/>
          <w:szCs w:val="22"/>
          <w:u w:val="single"/>
        </w:rPr>
      </w:pPr>
      <w:r w:rsidRPr="008E2C7E">
        <w:rPr>
          <w:rFonts w:ascii="Arial" w:hAnsi="Arial" w:cs="Arial"/>
          <w:bCs/>
          <w:sz w:val="22"/>
          <w:szCs w:val="22"/>
          <w:u w:val="single"/>
        </w:rPr>
        <w:t>Corporate Budgets</w:t>
      </w:r>
    </w:p>
    <w:p w:rsidR="00FC094F" w:rsidRDefault="008E2C7E" w:rsidP="008E2C7E">
      <w:pPr>
        <w:ind w:left="720" w:hanging="436"/>
        <w:rPr>
          <w:rFonts w:ascii="Arial" w:hAnsi="Arial" w:cs="Arial"/>
          <w:bCs/>
          <w:sz w:val="22"/>
          <w:szCs w:val="22"/>
        </w:rPr>
      </w:pPr>
      <w:r>
        <w:rPr>
          <w:rFonts w:ascii="Arial" w:hAnsi="Arial" w:cs="Arial"/>
          <w:bCs/>
          <w:sz w:val="22"/>
          <w:szCs w:val="22"/>
        </w:rPr>
        <w:t>2.2</w:t>
      </w:r>
      <w:r>
        <w:rPr>
          <w:rFonts w:ascii="Arial" w:hAnsi="Arial" w:cs="Arial"/>
          <w:bCs/>
          <w:sz w:val="22"/>
          <w:szCs w:val="22"/>
        </w:rPr>
        <w:tab/>
      </w:r>
      <w:r w:rsidRPr="008E2C7E">
        <w:rPr>
          <w:rFonts w:ascii="Arial" w:hAnsi="Arial" w:cs="Arial"/>
          <w:bCs/>
          <w:sz w:val="22"/>
          <w:szCs w:val="22"/>
        </w:rPr>
        <w:t xml:space="preserve">At the time the interest income budget was set, interest rates were predicted to rise throughout 2015/16.  </w:t>
      </w:r>
      <w:r w:rsidR="00772AA3">
        <w:rPr>
          <w:rFonts w:ascii="Arial" w:hAnsi="Arial" w:cs="Arial"/>
          <w:bCs/>
          <w:sz w:val="22"/>
          <w:szCs w:val="22"/>
        </w:rPr>
        <w:t>This has not happened and c</w:t>
      </w:r>
      <w:r w:rsidRPr="008E2C7E">
        <w:rPr>
          <w:rFonts w:ascii="Arial" w:hAnsi="Arial" w:cs="Arial"/>
          <w:bCs/>
          <w:sz w:val="22"/>
          <w:szCs w:val="22"/>
        </w:rPr>
        <w:t xml:space="preserve">urrent forecasts are that there will be no rise in the </w:t>
      </w:r>
      <w:r w:rsidR="00772AA3">
        <w:rPr>
          <w:rFonts w:ascii="Arial" w:hAnsi="Arial" w:cs="Arial"/>
          <w:bCs/>
          <w:sz w:val="22"/>
          <w:szCs w:val="22"/>
        </w:rPr>
        <w:t>B</w:t>
      </w:r>
      <w:r w:rsidRPr="008E2C7E">
        <w:rPr>
          <w:rFonts w:ascii="Arial" w:hAnsi="Arial" w:cs="Arial"/>
          <w:bCs/>
          <w:sz w:val="22"/>
          <w:szCs w:val="22"/>
        </w:rPr>
        <w:t xml:space="preserve">ase </w:t>
      </w:r>
      <w:r w:rsidR="00772AA3">
        <w:rPr>
          <w:rFonts w:ascii="Arial" w:hAnsi="Arial" w:cs="Arial"/>
          <w:bCs/>
          <w:sz w:val="22"/>
          <w:szCs w:val="22"/>
        </w:rPr>
        <w:t>R</w:t>
      </w:r>
      <w:r w:rsidRPr="008E2C7E">
        <w:rPr>
          <w:rFonts w:ascii="Arial" w:hAnsi="Arial" w:cs="Arial"/>
          <w:bCs/>
          <w:sz w:val="22"/>
          <w:szCs w:val="22"/>
        </w:rPr>
        <w:t>ate until the first quarter of 2016 at the earliest</w:t>
      </w:r>
      <w:r w:rsidR="00772AA3">
        <w:rPr>
          <w:rFonts w:ascii="Arial" w:hAnsi="Arial" w:cs="Arial"/>
          <w:bCs/>
          <w:sz w:val="22"/>
          <w:szCs w:val="22"/>
        </w:rPr>
        <w:t>,</w:t>
      </w:r>
      <w:r w:rsidRPr="008E2C7E">
        <w:rPr>
          <w:rFonts w:ascii="Arial" w:hAnsi="Arial" w:cs="Arial"/>
          <w:bCs/>
          <w:sz w:val="22"/>
          <w:szCs w:val="22"/>
        </w:rPr>
        <w:t xml:space="preserve"> but more likely the fourth quarter of 2016</w:t>
      </w:r>
      <w:r w:rsidR="00734299">
        <w:rPr>
          <w:rFonts w:ascii="Arial" w:hAnsi="Arial" w:cs="Arial"/>
          <w:bCs/>
          <w:sz w:val="22"/>
          <w:szCs w:val="22"/>
        </w:rPr>
        <w:t>, h</w:t>
      </w:r>
      <w:r w:rsidR="00772AA3">
        <w:rPr>
          <w:rFonts w:ascii="Arial" w:hAnsi="Arial" w:cs="Arial"/>
          <w:bCs/>
          <w:sz w:val="22"/>
          <w:szCs w:val="22"/>
        </w:rPr>
        <w:t xml:space="preserve">ence there is </w:t>
      </w:r>
      <w:r w:rsidRPr="008E2C7E">
        <w:rPr>
          <w:rFonts w:ascii="Arial" w:hAnsi="Arial" w:cs="Arial"/>
          <w:bCs/>
          <w:sz w:val="22"/>
          <w:szCs w:val="22"/>
        </w:rPr>
        <w:t xml:space="preserve">a pressure of </w:t>
      </w:r>
      <w:r w:rsidR="00B00048">
        <w:rPr>
          <w:rFonts w:ascii="Arial" w:hAnsi="Arial" w:cs="Arial"/>
          <w:bCs/>
          <w:sz w:val="22"/>
          <w:szCs w:val="22"/>
        </w:rPr>
        <w:t>£</w:t>
      </w:r>
      <w:r w:rsidRPr="008E2C7E">
        <w:rPr>
          <w:rFonts w:ascii="Arial" w:hAnsi="Arial" w:cs="Arial"/>
          <w:bCs/>
          <w:sz w:val="22"/>
          <w:szCs w:val="22"/>
        </w:rPr>
        <w:t>0.</w:t>
      </w:r>
      <w:r w:rsidR="00B00048">
        <w:rPr>
          <w:rFonts w:ascii="Arial" w:hAnsi="Arial" w:cs="Arial"/>
          <w:bCs/>
          <w:sz w:val="22"/>
          <w:szCs w:val="22"/>
        </w:rPr>
        <w:t>136</w:t>
      </w:r>
      <w:r w:rsidRPr="008E2C7E">
        <w:rPr>
          <w:rFonts w:ascii="Arial" w:hAnsi="Arial" w:cs="Arial"/>
          <w:bCs/>
          <w:sz w:val="22"/>
          <w:szCs w:val="22"/>
        </w:rPr>
        <w:t xml:space="preserve"> million.</w:t>
      </w:r>
    </w:p>
    <w:p w:rsidR="00734299" w:rsidRDefault="00734299" w:rsidP="008E2C7E">
      <w:pPr>
        <w:ind w:left="720" w:hanging="436"/>
        <w:rPr>
          <w:rFonts w:ascii="Arial" w:hAnsi="Arial" w:cs="Arial"/>
          <w:bCs/>
          <w:sz w:val="22"/>
          <w:szCs w:val="22"/>
        </w:rPr>
      </w:pPr>
    </w:p>
    <w:p w:rsidR="00FC094F" w:rsidRDefault="00FC094F" w:rsidP="008E2C7E">
      <w:pPr>
        <w:ind w:left="720" w:hanging="436"/>
        <w:rPr>
          <w:rFonts w:ascii="Arial" w:hAnsi="Arial" w:cs="Arial"/>
          <w:bCs/>
          <w:sz w:val="22"/>
          <w:szCs w:val="22"/>
        </w:rPr>
      </w:pPr>
      <w:r>
        <w:rPr>
          <w:rFonts w:ascii="Arial" w:hAnsi="Arial" w:cs="Arial"/>
          <w:bCs/>
          <w:sz w:val="22"/>
          <w:szCs w:val="22"/>
        </w:rPr>
        <w:t>2.3</w:t>
      </w:r>
      <w:r>
        <w:rPr>
          <w:rFonts w:ascii="Arial" w:hAnsi="Arial" w:cs="Arial"/>
          <w:bCs/>
          <w:sz w:val="22"/>
          <w:szCs w:val="22"/>
        </w:rPr>
        <w:tab/>
      </w:r>
      <w:r w:rsidRPr="00FC094F">
        <w:rPr>
          <w:rFonts w:ascii="Arial" w:hAnsi="Arial" w:cs="Arial"/>
          <w:bCs/>
          <w:sz w:val="22"/>
          <w:szCs w:val="22"/>
        </w:rPr>
        <w:t>The mitigations of £</w:t>
      </w:r>
      <w:r w:rsidR="00734299">
        <w:rPr>
          <w:rFonts w:ascii="Arial" w:hAnsi="Arial" w:cs="Arial"/>
          <w:bCs/>
          <w:sz w:val="22"/>
          <w:szCs w:val="22"/>
        </w:rPr>
        <w:t>(</w:t>
      </w:r>
      <w:r w:rsidRPr="00FC094F">
        <w:rPr>
          <w:rFonts w:ascii="Arial" w:hAnsi="Arial" w:cs="Arial"/>
          <w:bCs/>
          <w:sz w:val="22"/>
          <w:szCs w:val="22"/>
        </w:rPr>
        <w:t>0.200</w:t>
      </w:r>
      <w:r w:rsidR="00734299">
        <w:rPr>
          <w:rFonts w:ascii="Arial" w:hAnsi="Arial" w:cs="Arial"/>
          <w:bCs/>
          <w:sz w:val="22"/>
          <w:szCs w:val="22"/>
        </w:rPr>
        <w:t>)</w:t>
      </w:r>
      <w:r w:rsidRPr="00FC094F">
        <w:rPr>
          <w:rFonts w:ascii="Arial" w:hAnsi="Arial" w:cs="Arial"/>
          <w:bCs/>
          <w:sz w:val="22"/>
          <w:szCs w:val="22"/>
        </w:rPr>
        <w:t xml:space="preserve"> million and £</w:t>
      </w:r>
      <w:r w:rsidR="00734299">
        <w:rPr>
          <w:rFonts w:ascii="Arial" w:hAnsi="Arial" w:cs="Arial"/>
          <w:bCs/>
          <w:sz w:val="22"/>
          <w:szCs w:val="22"/>
        </w:rPr>
        <w:t>(</w:t>
      </w:r>
      <w:r>
        <w:rPr>
          <w:rFonts w:ascii="Arial" w:hAnsi="Arial" w:cs="Arial"/>
          <w:bCs/>
          <w:sz w:val="22"/>
          <w:szCs w:val="22"/>
        </w:rPr>
        <w:t>0.</w:t>
      </w:r>
      <w:r w:rsidRPr="00FC094F">
        <w:rPr>
          <w:rFonts w:ascii="Arial" w:hAnsi="Arial" w:cs="Arial"/>
          <w:bCs/>
          <w:sz w:val="22"/>
          <w:szCs w:val="22"/>
        </w:rPr>
        <w:t>250</w:t>
      </w:r>
      <w:r w:rsidR="00734299">
        <w:rPr>
          <w:rFonts w:ascii="Arial" w:hAnsi="Arial" w:cs="Arial"/>
          <w:bCs/>
          <w:sz w:val="22"/>
          <w:szCs w:val="22"/>
        </w:rPr>
        <w:t>)</w:t>
      </w:r>
      <w:r w:rsidRPr="00FC094F">
        <w:rPr>
          <w:rFonts w:ascii="Arial" w:hAnsi="Arial" w:cs="Arial"/>
          <w:bCs/>
          <w:sz w:val="22"/>
          <w:szCs w:val="22"/>
        </w:rPr>
        <w:t xml:space="preserve"> million for Planning and Regulatory and Housing and Property pressures respectively together with the £0.136 million underachievement of investment income result in an overall corporate variance of £(0.314) million.</w:t>
      </w:r>
    </w:p>
    <w:p w:rsidR="00C532B5" w:rsidRDefault="00C532B5" w:rsidP="006E3BBA">
      <w:pPr>
        <w:ind w:left="720"/>
        <w:rPr>
          <w:rFonts w:ascii="Arial" w:hAnsi="Arial" w:cs="Arial"/>
          <w:bCs/>
          <w:sz w:val="22"/>
          <w:szCs w:val="22"/>
        </w:rPr>
      </w:pPr>
    </w:p>
    <w:p w:rsidR="006E3BBA" w:rsidRPr="006C26CA" w:rsidRDefault="006E3BBA" w:rsidP="006E3BBA">
      <w:pPr>
        <w:ind w:left="709"/>
        <w:rPr>
          <w:rFonts w:ascii="Arial" w:hAnsi="Arial" w:cs="Arial"/>
          <w:b/>
          <w:bCs/>
          <w:sz w:val="22"/>
          <w:szCs w:val="22"/>
        </w:rPr>
      </w:pPr>
      <w:r w:rsidRPr="00D63C56">
        <w:rPr>
          <w:rFonts w:ascii="Arial" w:hAnsi="Arial" w:cs="Arial"/>
          <w:b/>
          <w:bCs/>
          <w:sz w:val="22"/>
          <w:szCs w:val="22"/>
        </w:rPr>
        <w:t>Housing Revenue Account (HRA)</w:t>
      </w:r>
    </w:p>
    <w:p w:rsidR="006C26CA" w:rsidRDefault="006C26CA" w:rsidP="006E3BBA">
      <w:pPr>
        <w:ind w:left="709"/>
        <w:rPr>
          <w:rFonts w:ascii="Arial" w:hAnsi="Arial" w:cs="Arial"/>
          <w:bCs/>
          <w:sz w:val="22"/>
          <w:szCs w:val="22"/>
        </w:rPr>
      </w:pPr>
    </w:p>
    <w:p w:rsidR="006E3BBA" w:rsidRDefault="006C26CA" w:rsidP="002F564B">
      <w:pPr>
        <w:ind w:left="709" w:hanging="425"/>
        <w:rPr>
          <w:rFonts w:ascii="Arial" w:hAnsi="Arial" w:cs="Arial"/>
          <w:bCs/>
          <w:sz w:val="22"/>
          <w:szCs w:val="22"/>
        </w:rPr>
      </w:pPr>
      <w:r w:rsidRPr="00BB7645">
        <w:rPr>
          <w:rFonts w:ascii="Arial" w:hAnsi="Arial" w:cs="Arial"/>
          <w:bCs/>
          <w:sz w:val="22"/>
          <w:szCs w:val="22"/>
        </w:rPr>
        <w:t>2.</w:t>
      </w:r>
      <w:r w:rsidR="007A612F">
        <w:rPr>
          <w:rFonts w:ascii="Arial" w:hAnsi="Arial" w:cs="Arial"/>
          <w:bCs/>
          <w:sz w:val="22"/>
          <w:szCs w:val="22"/>
        </w:rPr>
        <w:t>3</w:t>
      </w:r>
      <w:r w:rsidRPr="00BB7645">
        <w:rPr>
          <w:rFonts w:ascii="Arial" w:hAnsi="Arial" w:cs="Arial"/>
          <w:bCs/>
          <w:sz w:val="22"/>
          <w:szCs w:val="22"/>
        </w:rPr>
        <w:tab/>
      </w:r>
      <w:r w:rsidR="006E3BBA" w:rsidRPr="00BB7645">
        <w:rPr>
          <w:rFonts w:ascii="Arial" w:hAnsi="Arial" w:cs="Arial"/>
          <w:bCs/>
          <w:sz w:val="22"/>
          <w:szCs w:val="22"/>
        </w:rPr>
        <w:t>The forecast Housing Revenue Account (HRA) outturn position is a n</w:t>
      </w:r>
      <w:r w:rsidR="009C2057" w:rsidRPr="00BB7645">
        <w:rPr>
          <w:rFonts w:ascii="Arial" w:hAnsi="Arial" w:cs="Arial"/>
          <w:bCs/>
          <w:sz w:val="22"/>
          <w:szCs w:val="22"/>
        </w:rPr>
        <w:t>il variance overall as a</w:t>
      </w:r>
      <w:r w:rsidR="006E3BBA" w:rsidRPr="00BB7645">
        <w:rPr>
          <w:rFonts w:ascii="Arial" w:hAnsi="Arial" w:cs="Arial"/>
          <w:bCs/>
          <w:sz w:val="22"/>
          <w:szCs w:val="22"/>
        </w:rPr>
        <w:t>t Q</w:t>
      </w:r>
      <w:r w:rsidR="00B00048" w:rsidRPr="00BB7645">
        <w:rPr>
          <w:rFonts w:ascii="Arial" w:hAnsi="Arial" w:cs="Arial"/>
          <w:bCs/>
          <w:sz w:val="22"/>
          <w:szCs w:val="22"/>
        </w:rPr>
        <w:t>2</w:t>
      </w:r>
      <w:r w:rsidR="009C2057" w:rsidRPr="00BB7645">
        <w:rPr>
          <w:rFonts w:ascii="Arial" w:hAnsi="Arial" w:cs="Arial"/>
          <w:bCs/>
          <w:sz w:val="22"/>
          <w:szCs w:val="22"/>
        </w:rPr>
        <w:t xml:space="preserve">.  </w:t>
      </w:r>
      <w:r w:rsidR="00BB7645" w:rsidRPr="00BB7645">
        <w:rPr>
          <w:rFonts w:ascii="Arial" w:hAnsi="Arial" w:cs="Arial"/>
          <w:bCs/>
          <w:sz w:val="22"/>
          <w:szCs w:val="22"/>
        </w:rPr>
        <w:t>More</w:t>
      </w:r>
      <w:r w:rsidR="009C2057" w:rsidRPr="00BB7645">
        <w:rPr>
          <w:rFonts w:ascii="Arial" w:hAnsi="Arial" w:cs="Arial"/>
          <w:bCs/>
          <w:sz w:val="22"/>
          <w:szCs w:val="22"/>
        </w:rPr>
        <w:t xml:space="preserve"> detail</w:t>
      </w:r>
      <w:r w:rsidR="00BB7645" w:rsidRPr="00BB7645">
        <w:rPr>
          <w:rFonts w:ascii="Arial" w:hAnsi="Arial" w:cs="Arial"/>
          <w:bCs/>
          <w:sz w:val="22"/>
          <w:szCs w:val="22"/>
        </w:rPr>
        <w:t xml:space="preserve"> is contained</w:t>
      </w:r>
      <w:r w:rsidR="009C2057" w:rsidRPr="00BB7645">
        <w:rPr>
          <w:rFonts w:ascii="Arial" w:hAnsi="Arial" w:cs="Arial"/>
          <w:bCs/>
          <w:sz w:val="22"/>
          <w:szCs w:val="22"/>
        </w:rPr>
        <w:t xml:space="preserve"> in Appendix D2</w:t>
      </w:r>
      <w:r w:rsidR="00933D36" w:rsidRPr="00BB7645">
        <w:rPr>
          <w:rFonts w:ascii="Arial" w:hAnsi="Arial" w:cs="Arial"/>
          <w:bCs/>
          <w:sz w:val="22"/>
          <w:szCs w:val="22"/>
        </w:rPr>
        <w:t>.</w:t>
      </w:r>
    </w:p>
    <w:p w:rsidR="006E3BBA" w:rsidRDefault="006E3BBA" w:rsidP="006E3BBA">
      <w:pPr>
        <w:ind w:left="709"/>
        <w:rPr>
          <w:rFonts w:ascii="Arial" w:hAnsi="Arial" w:cs="Arial"/>
          <w:bCs/>
          <w:sz w:val="22"/>
          <w:szCs w:val="22"/>
        </w:rPr>
      </w:pPr>
    </w:p>
    <w:p w:rsidR="006E3BBA" w:rsidRPr="006C26CA" w:rsidRDefault="006E3BBA" w:rsidP="006E3BBA">
      <w:pPr>
        <w:ind w:left="709"/>
        <w:rPr>
          <w:rFonts w:ascii="Arial" w:hAnsi="Arial" w:cs="Arial"/>
          <w:b/>
          <w:bCs/>
          <w:sz w:val="22"/>
          <w:szCs w:val="22"/>
        </w:rPr>
      </w:pPr>
      <w:r w:rsidRPr="006C26CA">
        <w:rPr>
          <w:rFonts w:ascii="Arial" w:hAnsi="Arial" w:cs="Arial"/>
          <w:b/>
          <w:bCs/>
          <w:sz w:val="22"/>
          <w:szCs w:val="22"/>
        </w:rPr>
        <w:t>Capital</w:t>
      </w:r>
    </w:p>
    <w:p w:rsidR="006C26CA" w:rsidRDefault="006C26CA" w:rsidP="006E3BBA">
      <w:pPr>
        <w:ind w:left="709"/>
        <w:rPr>
          <w:rFonts w:ascii="Arial" w:hAnsi="Arial" w:cs="Arial"/>
          <w:bCs/>
          <w:sz w:val="22"/>
          <w:szCs w:val="22"/>
        </w:rPr>
      </w:pPr>
    </w:p>
    <w:p w:rsidR="00FE5E5F" w:rsidRDefault="006C26CA" w:rsidP="00047892">
      <w:pPr>
        <w:ind w:left="709" w:hanging="425"/>
        <w:rPr>
          <w:rFonts w:ascii="Arial" w:hAnsi="Arial" w:cs="Arial"/>
          <w:bCs/>
          <w:sz w:val="22"/>
          <w:szCs w:val="22"/>
        </w:rPr>
      </w:pPr>
      <w:r w:rsidRPr="00C200C1">
        <w:rPr>
          <w:rFonts w:ascii="Arial" w:hAnsi="Arial" w:cs="Arial"/>
          <w:bCs/>
          <w:sz w:val="22"/>
          <w:szCs w:val="22"/>
        </w:rPr>
        <w:t>2.</w:t>
      </w:r>
      <w:r w:rsidR="007A612F">
        <w:rPr>
          <w:rFonts w:ascii="Arial" w:hAnsi="Arial" w:cs="Arial"/>
          <w:bCs/>
          <w:sz w:val="22"/>
          <w:szCs w:val="22"/>
        </w:rPr>
        <w:t>4</w:t>
      </w:r>
      <w:r w:rsidRPr="00C200C1">
        <w:rPr>
          <w:rFonts w:ascii="Arial" w:hAnsi="Arial" w:cs="Arial"/>
          <w:bCs/>
          <w:sz w:val="22"/>
          <w:szCs w:val="22"/>
        </w:rPr>
        <w:tab/>
      </w:r>
      <w:r w:rsidR="00FE5E5F" w:rsidRPr="00FE5E5F">
        <w:rPr>
          <w:rFonts w:ascii="Arial" w:hAnsi="Arial" w:cs="Arial"/>
          <w:bCs/>
          <w:sz w:val="22"/>
          <w:szCs w:val="22"/>
        </w:rPr>
        <w:t xml:space="preserve">The capital monitoring position as at </w:t>
      </w:r>
      <w:r w:rsidR="008421E9">
        <w:rPr>
          <w:rFonts w:ascii="Arial" w:hAnsi="Arial" w:cs="Arial"/>
          <w:bCs/>
          <w:sz w:val="22"/>
          <w:szCs w:val="22"/>
        </w:rPr>
        <w:t>30</w:t>
      </w:r>
      <w:r w:rsidR="008421E9" w:rsidRPr="008421E9">
        <w:rPr>
          <w:rFonts w:ascii="Arial" w:hAnsi="Arial" w:cs="Arial"/>
          <w:bCs/>
          <w:sz w:val="22"/>
          <w:szCs w:val="22"/>
          <w:vertAlign w:val="superscript"/>
        </w:rPr>
        <w:t>th</w:t>
      </w:r>
      <w:r w:rsidR="008421E9">
        <w:rPr>
          <w:rFonts w:ascii="Arial" w:hAnsi="Arial" w:cs="Arial"/>
          <w:bCs/>
          <w:sz w:val="22"/>
          <w:szCs w:val="22"/>
        </w:rPr>
        <w:t xml:space="preserve"> </w:t>
      </w:r>
      <w:r w:rsidR="00DA38AA">
        <w:rPr>
          <w:rFonts w:ascii="Arial" w:hAnsi="Arial" w:cs="Arial"/>
          <w:bCs/>
          <w:sz w:val="22"/>
          <w:szCs w:val="22"/>
        </w:rPr>
        <w:t>September</w:t>
      </w:r>
      <w:r w:rsidR="008421E9">
        <w:rPr>
          <w:rFonts w:ascii="Arial" w:hAnsi="Arial" w:cs="Arial"/>
          <w:bCs/>
          <w:sz w:val="22"/>
          <w:szCs w:val="22"/>
        </w:rPr>
        <w:t xml:space="preserve"> 2015</w:t>
      </w:r>
      <w:r w:rsidR="00FE5E5F" w:rsidRPr="00FE5E5F">
        <w:rPr>
          <w:rFonts w:ascii="Arial" w:hAnsi="Arial" w:cs="Arial"/>
          <w:bCs/>
          <w:sz w:val="22"/>
          <w:szCs w:val="22"/>
        </w:rPr>
        <w:t xml:space="preserve"> is shown </w:t>
      </w:r>
      <w:r w:rsidR="00FE5E5F">
        <w:rPr>
          <w:rFonts w:ascii="Arial" w:hAnsi="Arial" w:cs="Arial"/>
          <w:bCs/>
          <w:sz w:val="22"/>
          <w:szCs w:val="22"/>
        </w:rPr>
        <w:t xml:space="preserve">in more detail </w:t>
      </w:r>
      <w:r w:rsidR="00FE5E5F" w:rsidRPr="00FE5E5F">
        <w:rPr>
          <w:rFonts w:ascii="Arial" w:hAnsi="Arial" w:cs="Arial"/>
          <w:bCs/>
          <w:sz w:val="22"/>
          <w:szCs w:val="22"/>
        </w:rPr>
        <w:t xml:space="preserve">at Appendix </w:t>
      </w:r>
      <w:r w:rsidR="008421E9">
        <w:rPr>
          <w:rFonts w:ascii="Arial" w:hAnsi="Arial" w:cs="Arial"/>
          <w:bCs/>
          <w:sz w:val="22"/>
          <w:szCs w:val="22"/>
        </w:rPr>
        <w:t>F</w:t>
      </w:r>
      <w:r w:rsidR="00FE5E5F" w:rsidRPr="00FE5E5F">
        <w:rPr>
          <w:rFonts w:ascii="Arial" w:hAnsi="Arial" w:cs="Arial"/>
          <w:bCs/>
          <w:sz w:val="22"/>
          <w:szCs w:val="22"/>
        </w:rPr>
        <w:t xml:space="preserve">2.  The forecast </w:t>
      </w:r>
      <w:r w:rsidR="00FE5E5F" w:rsidRPr="003D1007">
        <w:rPr>
          <w:rFonts w:ascii="Arial" w:hAnsi="Arial" w:cs="Arial"/>
          <w:bCs/>
          <w:sz w:val="22"/>
          <w:szCs w:val="22"/>
        </w:rPr>
        <w:t xml:space="preserve">outturn </w:t>
      </w:r>
      <w:r w:rsidR="00933D36" w:rsidRPr="003D1007">
        <w:rPr>
          <w:rFonts w:ascii="Arial" w:hAnsi="Arial" w:cs="Arial"/>
          <w:bCs/>
          <w:sz w:val="22"/>
          <w:szCs w:val="22"/>
        </w:rPr>
        <w:t xml:space="preserve">shows a net </w:t>
      </w:r>
      <w:r w:rsidR="003D1007" w:rsidRPr="003D1007">
        <w:rPr>
          <w:rFonts w:ascii="Arial" w:hAnsi="Arial" w:cs="Arial"/>
          <w:bCs/>
          <w:sz w:val="22"/>
          <w:szCs w:val="22"/>
        </w:rPr>
        <w:t xml:space="preserve">forecast </w:t>
      </w:r>
      <w:r w:rsidR="002B6D73">
        <w:rPr>
          <w:rFonts w:ascii="Arial" w:hAnsi="Arial" w:cs="Arial"/>
          <w:bCs/>
          <w:sz w:val="22"/>
          <w:szCs w:val="22"/>
        </w:rPr>
        <w:t>variance</w:t>
      </w:r>
      <w:r w:rsidR="00FE5E5F" w:rsidRPr="003D1007">
        <w:rPr>
          <w:rFonts w:ascii="Arial" w:hAnsi="Arial" w:cs="Arial"/>
          <w:bCs/>
          <w:sz w:val="22"/>
          <w:szCs w:val="22"/>
        </w:rPr>
        <w:t xml:space="preserve"> </w:t>
      </w:r>
      <w:r w:rsidR="00933D36" w:rsidRPr="003D1007">
        <w:rPr>
          <w:rFonts w:ascii="Arial" w:hAnsi="Arial" w:cs="Arial"/>
          <w:bCs/>
          <w:sz w:val="22"/>
          <w:szCs w:val="22"/>
        </w:rPr>
        <w:t>of</w:t>
      </w:r>
      <w:r w:rsidR="00FE5E5F" w:rsidRPr="003D1007">
        <w:rPr>
          <w:rFonts w:ascii="Arial" w:hAnsi="Arial" w:cs="Arial"/>
          <w:bCs/>
          <w:sz w:val="22"/>
          <w:szCs w:val="22"/>
        </w:rPr>
        <w:t xml:space="preserve"> </w:t>
      </w:r>
      <w:proofErr w:type="gramStart"/>
      <w:r w:rsidR="00DA38AA">
        <w:rPr>
          <w:rFonts w:ascii="Arial" w:hAnsi="Arial" w:cs="Arial"/>
          <w:bCs/>
          <w:sz w:val="22"/>
          <w:szCs w:val="22"/>
        </w:rPr>
        <w:t>£(</w:t>
      </w:r>
      <w:proofErr w:type="gramEnd"/>
      <w:r w:rsidR="00DA38AA">
        <w:rPr>
          <w:rFonts w:ascii="Arial" w:hAnsi="Arial" w:cs="Arial"/>
          <w:bCs/>
          <w:sz w:val="22"/>
          <w:szCs w:val="22"/>
        </w:rPr>
        <w:t>10.936)</w:t>
      </w:r>
      <w:r w:rsidR="00FE5E5F" w:rsidRPr="003D1007">
        <w:rPr>
          <w:rFonts w:ascii="Arial" w:hAnsi="Arial" w:cs="Arial"/>
          <w:bCs/>
          <w:sz w:val="22"/>
          <w:szCs w:val="22"/>
        </w:rPr>
        <w:t xml:space="preserve"> million.</w:t>
      </w:r>
      <w:r w:rsidR="00047892" w:rsidRPr="003D1007">
        <w:rPr>
          <w:rFonts w:ascii="Arial" w:hAnsi="Arial" w:cs="Arial"/>
          <w:bCs/>
          <w:sz w:val="22"/>
          <w:szCs w:val="22"/>
        </w:rPr>
        <w:t xml:space="preserve">  </w:t>
      </w:r>
      <w:r w:rsidR="00FE5E5F" w:rsidRPr="003D1007">
        <w:rPr>
          <w:rFonts w:ascii="Arial" w:hAnsi="Arial" w:cs="Arial"/>
          <w:bCs/>
          <w:sz w:val="22"/>
          <w:szCs w:val="22"/>
        </w:rPr>
        <w:t>Key variations are detailed below: -</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General Fund</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Deferred Schemes</w:t>
      </w:r>
    </w:p>
    <w:p w:rsidR="00DA38AA" w:rsidRPr="00DA38AA" w:rsidRDefault="00DA38AA" w:rsidP="00DA38AA">
      <w:pPr>
        <w:numPr>
          <w:ilvl w:val="0"/>
          <w:numId w:val="15"/>
        </w:numPr>
        <w:rPr>
          <w:rFonts w:ascii="Arial" w:hAnsi="Arial" w:cs="Arial"/>
          <w:bCs/>
          <w:sz w:val="22"/>
          <w:szCs w:val="22"/>
        </w:rPr>
      </w:pPr>
      <w:r w:rsidRPr="00DA38AA">
        <w:rPr>
          <w:rFonts w:ascii="Arial" w:hAnsi="Arial" w:cs="Arial"/>
          <w:bCs/>
          <w:sz w:val="22"/>
          <w:szCs w:val="22"/>
        </w:rPr>
        <w:t>A deferral of capital schemes to the value of £4.413million is proposed</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Over / (Under) spends</w:t>
      </w:r>
    </w:p>
    <w:p w:rsidR="00DA38AA" w:rsidRPr="00DA38AA" w:rsidRDefault="00DA38AA" w:rsidP="00DA38AA">
      <w:pPr>
        <w:numPr>
          <w:ilvl w:val="0"/>
          <w:numId w:val="15"/>
        </w:numPr>
        <w:rPr>
          <w:rFonts w:ascii="Arial" w:hAnsi="Arial" w:cs="Arial"/>
          <w:bCs/>
          <w:sz w:val="22"/>
          <w:szCs w:val="22"/>
        </w:rPr>
      </w:pPr>
      <w:r w:rsidRPr="00DA38AA">
        <w:rPr>
          <w:rFonts w:ascii="Arial" w:hAnsi="Arial" w:cs="Arial"/>
          <w:bCs/>
          <w:sz w:val="22"/>
          <w:szCs w:val="22"/>
        </w:rPr>
        <w:t>Overspend on improvements to Pembroke Street of £0.120 million</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Budget movements between years</w:t>
      </w:r>
    </w:p>
    <w:p w:rsidR="00DA38AA" w:rsidRDefault="00DA38AA" w:rsidP="00DA38AA">
      <w:pPr>
        <w:numPr>
          <w:ilvl w:val="0"/>
          <w:numId w:val="15"/>
        </w:numPr>
        <w:rPr>
          <w:rFonts w:ascii="Arial" w:hAnsi="Arial" w:cs="Arial"/>
          <w:bCs/>
          <w:sz w:val="22"/>
          <w:szCs w:val="22"/>
        </w:rPr>
      </w:pPr>
      <w:r w:rsidRPr="00DA38AA">
        <w:rPr>
          <w:rFonts w:ascii="Arial" w:hAnsi="Arial" w:cs="Arial"/>
          <w:bCs/>
          <w:sz w:val="22"/>
          <w:szCs w:val="22"/>
        </w:rPr>
        <w:t>Work on garages is forecast to extend into 2016/17 by £0.103 million.</w:t>
      </w:r>
    </w:p>
    <w:p w:rsidR="00DA38AA" w:rsidRPr="00DA38AA" w:rsidRDefault="00DA38AA" w:rsidP="00DA38AA">
      <w:pPr>
        <w:numPr>
          <w:ilvl w:val="0"/>
          <w:numId w:val="15"/>
        </w:numPr>
        <w:rPr>
          <w:rFonts w:ascii="Arial" w:hAnsi="Arial" w:cs="Arial"/>
          <w:bCs/>
          <w:sz w:val="22"/>
          <w:szCs w:val="22"/>
        </w:rPr>
      </w:pPr>
      <w:r>
        <w:rPr>
          <w:rFonts w:ascii="Arial" w:hAnsi="Arial" w:cs="Arial"/>
          <w:bCs/>
          <w:sz w:val="22"/>
          <w:szCs w:val="22"/>
        </w:rPr>
        <w:t xml:space="preserve">Various section 106 funded schemes to the value of £0.145 million </w:t>
      </w:r>
      <w:r w:rsidR="0077614A">
        <w:rPr>
          <w:rFonts w:ascii="Arial" w:hAnsi="Arial" w:cs="Arial"/>
          <w:bCs/>
          <w:sz w:val="22"/>
          <w:szCs w:val="22"/>
        </w:rPr>
        <w:t>are forecast to progress in 2016/17.</w:t>
      </w:r>
    </w:p>
    <w:p w:rsidR="0077614A" w:rsidRDefault="0077614A" w:rsidP="00DA38AA">
      <w:pPr>
        <w:ind w:left="1134"/>
        <w:rPr>
          <w:rFonts w:ascii="Arial" w:hAnsi="Arial" w:cs="Arial"/>
          <w:bCs/>
          <w:sz w:val="22"/>
          <w:szCs w:val="22"/>
          <w:u w:val="single"/>
        </w:rPr>
      </w:pP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HRA</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Deferred Schemes</w:t>
      </w:r>
    </w:p>
    <w:p w:rsidR="00DA38AA" w:rsidRPr="00DA38AA" w:rsidRDefault="00DA38AA" w:rsidP="00DA38AA">
      <w:pPr>
        <w:numPr>
          <w:ilvl w:val="0"/>
          <w:numId w:val="15"/>
        </w:numPr>
        <w:rPr>
          <w:rFonts w:ascii="Arial" w:hAnsi="Arial" w:cs="Arial"/>
          <w:bCs/>
          <w:sz w:val="22"/>
          <w:szCs w:val="22"/>
        </w:rPr>
      </w:pPr>
      <w:r w:rsidRPr="00DA38AA">
        <w:rPr>
          <w:rFonts w:ascii="Arial" w:hAnsi="Arial" w:cs="Arial"/>
          <w:bCs/>
          <w:sz w:val="22"/>
          <w:szCs w:val="22"/>
        </w:rPr>
        <w:t>A deferral of capital schemes to the value of £1.936m is proposed</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Over / (Under) spends</w:t>
      </w:r>
    </w:p>
    <w:p w:rsidR="00DA38AA" w:rsidRPr="00DA38AA" w:rsidRDefault="00DA38AA" w:rsidP="00DA38AA">
      <w:pPr>
        <w:numPr>
          <w:ilvl w:val="0"/>
          <w:numId w:val="15"/>
        </w:numPr>
        <w:rPr>
          <w:rFonts w:ascii="Arial" w:hAnsi="Arial" w:cs="Arial"/>
          <w:bCs/>
          <w:sz w:val="22"/>
          <w:szCs w:val="22"/>
        </w:rPr>
      </w:pPr>
      <w:r w:rsidRPr="00DA38AA">
        <w:rPr>
          <w:rFonts w:ascii="Arial" w:hAnsi="Arial" w:cs="Arial"/>
          <w:bCs/>
          <w:sz w:val="22"/>
          <w:szCs w:val="22"/>
        </w:rPr>
        <w:t>An underspend of £0.416 million is anticipated on the homes at Barton project</w:t>
      </w:r>
    </w:p>
    <w:p w:rsidR="00DA38AA" w:rsidRPr="00DA38AA" w:rsidRDefault="00DA38AA" w:rsidP="00DA38AA">
      <w:pPr>
        <w:ind w:left="1134"/>
        <w:rPr>
          <w:rFonts w:ascii="Arial" w:hAnsi="Arial" w:cs="Arial"/>
          <w:bCs/>
          <w:sz w:val="22"/>
          <w:szCs w:val="22"/>
          <w:u w:val="single"/>
        </w:rPr>
      </w:pPr>
      <w:r w:rsidRPr="00DA38AA">
        <w:rPr>
          <w:rFonts w:ascii="Arial" w:hAnsi="Arial" w:cs="Arial"/>
          <w:bCs/>
          <w:sz w:val="22"/>
          <w:szCs w:val="22"/>
          <w:u w:val="single"/>
        </w:rPr>
        <w:t>Budget movements between years</w:t>
      </w:r>
    </w:p>
    <w:p w:rsidR="00DA38AA" w:rsidRPr="00DA38AA" w:rsidRDefault="00DA38AA" w:rsidP="00DA38AA">
      <w:pPr>
        <w:numPr>
          <w:ilvl w:val="0"/>
          <w:numId w:val="15"/>
        </w:numPr>
        <w:rPr>
          <w:rFonts w:ascii="Arial" w:hAnsi="Arial" w:cs="Arial"/>
          <w:bCs/>
          <w:sz w:val="22"/>
          <w:szCs w:val="22"/>
        </w:rPr>
      </w:pPr>
      <w:r w:rsidRPr="00DA38AA">
        <w:rPr>
          <w:rFonts w:ascii="Arial" w:hAnsi="Arial" w:cs="Arial"/>
          <w:bCs/>
          <w:sz w:val="22"/>
          <w:szCs w:val="22"/>
        </w:rPr>
        <w:t>Tower blocks budgets of £4.643 million are moving into 2016/17</w:t>
      </w:r>
    </w:p>
    <w:p w:rsidR="00DA38AA" w:rsidRPr="00DA38AA" w:rsidRDefault="00C93629" w:rsidP="00DA38AA">
      <w:pPr>
        <w:ind w:left="1134"/>
        <w:rPr>
          <w:rFonts w:ascii="Arial" w:hAnsi="Arial" w:cs="Arial"/>
          <w:bCs/>
          <w:sz w:val="22"/>
          <w:szCs w:val="22"/>
          <w:u w:val="single"/>
        </w:rPr>
      </w:pPr>
      <w:r w:rsidRPr="00C93629">
        <w:rPr>
          <w:rFonts w:ascii="Arial" w:hAnsi="Arial" w:cs="Arial"/>
          <w:bCs/>
          <w:sz w:val="22"/>
          <w:szCs w:val="22"/>
          <w:u w:val="single"/>
        </w:rPr>
        <w:lastRenderedPageBreak/>
        <w:t>Budget adjustment</w:t>
      </w:r>
    </w:p>
    <w:p w:rsidR="00DA38AA" w:rsidRPr="00DA38AA" w:rsidRDefault="00C93629" w:rsidP="00C93629">
      <w:pPr>
        <w:numPr>
          <w:ilvl w:val="0"/>
          <w:numId w:val="15"/>
        </w:numPr>
        <w:rPr>
          <w:rFonts w:ascii="Arial" w:hAnsi="Arial" w:cs="Arial"/>
          <w:bCs/>
          <w:sz w:val="22"/>
          <w:szCs w:val="22"/>
        </w:rPr>
      </w:pPr>
      <w:r w:rsidRPr="00C93629">
        <w:rPr>
          <w:rFonts w:ascii="Arial" w:hAnsi="Arial" w:cs="Arial"/>
          <w:bCs/>
          <w:sz w:val="22"/>
          <w:szCs w:val="22"/>
        </w:rPr>
        <w:t>A budget adjustment is proposed from the solar panel budget to Energy efficiency initiatives of £0.415 million to combine all of the energy efficiency budgets into one</w:t>
      </w:r>
    </w:p>
    <w:p w:rsidR="00A44EC2" w:rsidRPr="00A44EC2" w:rsidRDefault="00A44EC2" w:rsidP="00A44EC2">
      <w:pPr>
        <w:ind w:left="720" w:firstLine="360"/>
        <w:rPr>
          <w:rFonts w:ascii="Arial" w:hAnsi="Arial" w:cs="Arial"/>
          <w:bCs/>
          <w:sz w:val="22"/>
          <w:szCs w:val="22"/>
          <w:u w:val="single"/>
        </w:rPr>
      </w:pPr>
      <w:r w:rsidRPr="00A44EC2">
        <w:rPr>
          <w:rFonts w:ascii="Arial" w:hAnsi="Arial" w:cs="Arial"/>
          <w:bCs/>
          <w:sz w:val="22"/>
          <w:szCs w:val="22"/>
          <w:u w:val="single"/>
        </w:rPr>
        <w:t>Budget movement between years and scheme variance</w:t>
      </w:r>
    </w:p>
    <w:p w:rsidR="00A44EC2" w:rsidRPr="00A44EC2" w:rsidRDefault="00A44EC2" w:rsidP="00A44EC2">
      <w:pPr>
        <w:numPr>
          <w:ilvl w:val="0"/>
          <w:numId w:val="15"/>
        </w:numPr>
        <w:rPr>
          <w:rFonts w:ascii="Arial" w:hAnsi="Arial" w:cs="Arial"/>
          <w:bCs/>
          <w:sz w:val="22"/>
          <w:szCs w:val="22"/>
        </w:rPr>
      </w:pPr>
      <w:r w:rsidRPr="00A44EC2">
        <w:rPr>
          <w:rFonts w:ascii="Arial" w:hAnsi="Arial" w:cs="Arial"/>
          <w:bCs/>
          <w:sz w:val="22"/>
          <w:szCs w:val="22"/>
        </w:rPr>
        <w:t xml:space="preserve">An in-year variance is anticipated of £0.646 million on HCA New Build.  £0.395 million of this relates to budget movements between years and the balance of £0.251 million relates to internal fees and potential additional charges from the Council’s </w:t>
      </w:r>
      <w:r w:rsidR="004E4312">
        <w:rPr>
          <w:rFonts w:ascii="Arial" w:hAnsi="Arial" w:cs="Arial"/>
          <w:bCs/>
          <w:sz w:val="22"/>
          <w:szCs w:val="22"/>
        </w:rPr>
        <w:t xml:space="preserve">external </w:t>
      </w:r>
      <w:r w:rsidRPr="00A44EC2">
        <w:rPr>
          <w:rFonts w:ascii="Arial" w:hAnsi="Arial" w:cs="Arial"/>
          <w:bCs/>
          <w:sz w:val="22"/>
          <w:szCs w:val="22"/>
        </w:rPr>
        <w:t xml:space="preserve">project </w:t>
      </w:r>
      <w:proofErr w:type="gramStart"/>
      <w:r w:rsidRPr="00A44EC2">
        <w:rPr>
          <w:rFonts w:ascii="Arial" w:hAnsi="Arial" w:cs="Arial"/>
          <w:bCs/>
          <w:sz w:val="22"/>
          <w:szCs w:val="22"/>
        </w:rPr>
        <w:t>manager which have</w:t>
      </w:r>
      <w:proofErr w:type="gramEnd"/>
      <w:r w:rsidRPr="00A44EC2">
        <w:rPr>
          <w:rFonts w:ascii="Arial" w:hAnsi="Arial" w:cs="Arial"/>
          <w:bCs/>
          <w:sz w:val="22"/>
          <w:szCs w:val="22"/>
        </w:rPr>
        <w:t xml:space="preserve"> yet to be finalised and p</w:t>
      </w:r>
      <w:r w:rsidR="004E4312">
        <w:rPr>
          <w:rFonts w:ascii="Arial" w:hAnsi="Arial" w:cs="Arial"/>
          <w:bCs/>
          <w:sz w:val="22"/>
          <w:szCs w:val="22"/>
        </w:rPr>
        <w:t>otential claims from the Council’s main contractor</w:t>
      </w:r>
      <w:r w:rsidRPr="00A44EC2">
        <w:rPr>
          <w:rFonts w:ascii="Arial" w:hAnsi="Arial" w:cs="Arial"/>
          <w:bCs/>
          <w:sz w:val="22"/>
          <w:szCs w:val="22"/>
        </w:rPr>
        <w:t>.</w:t>
      </w:r>
    </w:p>
    <w:p w:rsidR="00A44EC2" w:rsidRPr="00DA38AA" w:rsidRDefault="00A44EC2" w:rsidP="00FA031A">
      <w:pPr>
        <w:ind w:left="1134"/>
        <w:rPr>
          <w:rFonts w:ascii="Arial" w:hAnsi="Arial" w:cs="Arial"/>
          <w:bCs/>
          <w:sz w:val="22"/>
          <w:szCs w:val="22"/>
        </w:rPr>
      </w:pPr>
    </w:p>
    <w:p w:rsidR="00EB3859" w:rsidRPr="002F564B" w:rsidRDefault="00EB3859" w:rsidP="00EB3859">
      <w:pPr>
        <w:ind w:left="709"/>
        <w:rPr>
          <w:rFonts w:ascii="Arial" w:hAnsi="Arial" w:cs="Arial"/>
          <w:b/>
          <w:bCs/>
          <w:sz w:val="22"/>
          <w:szCs w:val="22"/>
        </w:rPr>
      </w:pPr>
      <w:r w:rsidRPr="002F564B">
        <w:rPr>
          <w:rFonts w:ascii="Arial" w:hAnsi="Arial" w:cs="Arial"/>
          <w:b/>
          <w:bCs/>
          <w:sz w:val="22"/>
          <w:szCs w:val="22"/>
        </w:rPr>
        <w:t>Savings and Efficiencies</w:t>
      </w:r>
    </w:p>
    <w:p w:rsidR="006B206F" w:rsidRDefault="006B206F" w:rsidP="00EB3859">
      <w:pPr>
        <w:ind w:left="709"/>
        <w:rPr>
          <w:rFonts w:ascii="Arial" w:hAnsi="Arial" w:cs="Arial"/>
          <w:bCs/>
          <w:sz w:val="22"/>
          <w:szCs w:val="22"/>
        </w:rPr>
      </w:pPr>
    </w:p>
    <w:p w:rsidR="006B206F" w:rsidRPr="006B206F" w:rsidRDefault="00EB3859" w:rsidP="00C200C1">
      <w:pPr>
        <w:ind w:left="709" w:hanging="425"/>
        <w:rPr>
          <w:rFonts w:ascii="Arial" w:hAnsi="Arial" w:cs="Arial"/>
          <w:bCs/>
          <w:sz w:val="22"/>
          <w:szCs w:val="22"/>
        </w:rPr>
      </w:pPr>
      <w:r w:rsidRPr="00EB3859">
        <w:rPr>
          <w:rFonts w:ascii="Arial" w:hAnsi="Arial" w:cs="Arial"/>
          <w:bCs/>
          <w:sz w:val="22"/>
          <w:szCs w:val="22"/>
        </w:rPr>
        <w:t>2.</w:t>
      </w:r>
      <w:r w:rsidR="007A612F">
        <w:rPr>
          <w:rFonts w:ascii="Arial" w:hAnsi="Arial" w:cs="Arial"/>
          <w:bCs/>
          <w:sz w:val="22"/>
          <w:szCs w:val="22"/>
        </w:rPr>
        <w:t>5</w:t>
      </w:r>
      <w:r w:rsidRPr="00EB3859">
        <w:rPr>
          <w:rFonts w:ascii="Arial" w:hAnsi="Arial" w:cs="Arial"/>
          <w:bCs/>
          <w:sz w:val="22"/>
          <w:szCs w:val="22"/>
        </w:rPr>
        <w:tab/>
      </w:r>
      <w:r w:rsidR="006B206F" w:rsidRPr="006B206F">
        <w:rPr>
          <w:rFonts w:ascii="Arial" w:hAnsi="Arial" w:cs="Arial"/>
          <w:bCs/>
          <w:sz w:val="22"/>
          <w:szCs w:val="22"/>
        </w:rPr>
        <w:t>The Council’s budget identifies £</w:t>
      </w:r>
      <w:r w:rsidR="00C65431">
        <w:rPr>
          <w:rFonts w:ascii="Arial" w:hAnsi="Arial" w:cs="Arial"/>
          <w:bCs/>
          <w:sz w:val="22"/>
          <w:szCs w:val="22"/>
        </w:rPr>
        <w:t>1.228</w:t>
      </w:r>
      <w:r w:rsidR="006B206F" w:rsidRPr="006B206F">
        <w:rPr>
          <w:rFonts w:ascii="Arial" w:hAnsi="Arial" w:cs="Arial"/>
          <w:bCs/>
          <w:sz w:val="22"/>
          <w:szCs w:val="22"/>
        </w:rPr>
        <w:t xml:space="preserve"> million of efficiencies, £0.</w:t>
      </w:r>
      <w:r w:rsidR="00C65431">
        <w:rPr>
          <w:rFonts w:ascii="Arial" w:hAnsi="Arial" w:cs="Arial"/>
          <w:bCs/>
          <w:sz w:val="22"/>
          <w:szCs w:val="22"/>
        </w:rPr>
        <w:t>526</w:t>
      </w:r>
      <w:r w:rsidR="006B206F" w:rsidRPr="006B206F">
        <w:rPr>
          <w:rFonts w:ascii="Arial" w:hAnsi="Arial" w:cs="Arial"/>
          <w:bCs/>
          <w:sz w:val="22"/>
          <w:szCs w:val="22"/>
        </w:rPr>
        <w:t xml:space="preserve"> million of service reductions and £</w:t>
      </w:r>
      <w:r w:rsidR="00C65431">
        <w:rPr>
          <w:rFonts w:ascii="Arial" w:hAnsi="Arial" w:cs="Arial"/>
          <w:bCs/>
          <w:sz w:val="22"/>
          <w:szCs w:val="22"/>
        </w:rPr>
        <w:t>1.368</w:t>
      </w:r>
      <w:r w:rsidR="006B206F" w:rsidRPr="006B206F">
        <w:rPr>
          <w:rFonts w:ascii="Arial" w:hAnsi="Arial" w:cs="Arial"/>
          <w:bCs/>
          <w:sz w:val="22"/>
          <w:szCs w:val="22"/>
        </w:rPr>
        <w:t xml:space="preserve"> million of additional fees and charges for 201</w:t>
      </w:r>
      <w:r w:rsidR="00C65431">
        <w:rPr>
          <w:rFonts w:ascii="Arial" w:hAnsi="Arial" w:cs="Arial"/>
          <w:bCs/>
          <w:sz w:val="22"/>
          <w:szCs w:val="22"/>
        </w:rPr>
        <w:t>5</w:t>
      </w:r>
      <w:r w:rsidR="006B206F" w:rsidRPr="006B206F">
        <w:rPr>
          <w:rFonts w:ascii="Arial" w:hAnsi="Arial" w:cs="Arial"/>
          <w:bCs/>
          <w:sz w:val="22"/>
          <w:szCs w:val="22"/>
        </w:rPr>
        <w:t>/1</w:t>
      </w:r>
      <w:r w:rsidR="00C65431">
        <w:rPr>
          <w:rFonts w:ascii="Arial" w:hAnsi="Arial" w:cs="Arial"/>
          <w:bCs/>
          <w:sz w:val="22"/>
          <w:szCs w:val="22"/>
        </w:rPr>
        <w:t>6</w:t>
      </w:r>
      <w:r w:rsidR="006B206F" w:rsidRPr="006B206F">
        <w:rPr>
          <w:rFonts w:ascii="Arial" w:hAnsi="Arial" w:cs="Arial"/>
          <w:bCs/>
          <w:sz w:val="22"/>
          <w:szCs w:val="22"/>
        </w:rPr>
        <w:t>; a total of £</w:t>
      </w:r>
      <w:r w:rsidR="00C65431">
        <w:rPr>
          <w:rFonts w:ascii="Arial" w:hAnsi="Arial" w:cs="Arial"/>
          <w:bCs/>
          <w:sz w:val="22"/>
          <w:szCs w:val="22"/>
        </w:rPr>
        <w:t>3</w:t>
      </w:r>
      <w:r w:rsidR="006B206F" w:rsidRPr="006B206F">
        <w:rPr>
          <w:rFonts w:ascii="Arial" w:hAnsi="Arial" w:cs="Arial"/>
          <w:bCs/>
          <w:sz w:val="22"/>
          <w:szCs w:val="22"/>
        </w:rPr>
        <w:t>.12</w:t>
      </w:r>
      <w:r w:rsidR="00C65431">
        <w:rPr>
          <w:rFonts w:ascii="Arial" w:hAnsi="Arial" w:cs="Arial"/>
          <w:bCs/>
          <w:sz w:val="22"/>
          <w:szCs w:val="22"/>
        </w:rPr>
        <w:t>2</w:t>
      </w:r>
      <w:r w:rsidR="006B206F" w:rsidRPr="006B206F">
        <w:rPr>
          <w:rFonts w:ascii="Arial" w:hAnsi="Arial" w:cs="Arial"/>
          <w:bCs/>
          <w:sz w:val="22"/>
          <w:szCs w:val="22"/>
        </w:rPr>
        <w:t xml:space="preserve"> million savings and efficiencies.  As at the end of </w:t>
      </w:r>
      <w:r w:rsidR="00440EDF">
        <w:rPr>
          <w:rFonts w:ascii="Arial" w:hAnsi="Arial" w:cs="Arial"/>
          <w:bCs/>
          <w:sz w:val="22"/>
          <w:szCs w:val="22"/>
        </w:rPr>
        <w:t>September</w:t>
      </w:r>
      <w:r w:rsidR="006B206F" w:rsidRPr="006B206F">
        <w:rPr>
          <w:rFonts w:ascii="Arial" w:hAnsi="Arial" w:cs="Arial"/>
          <w:bCs/>
          <w:sz w:val="22"/>
          <w:szCs w:val="22"/>
        </w:rPr>
        <w:t xml:space="preserve"> it is anticipated that </w:t>
      </w:r>
      <w:r w:rsidR="00C65431">
        <w:rPr>
          <w:rFonts w:ascii="Arial" w:hAnsi="Arial" w:cs="Arial"/>
          <w:bCs/>
          <w:sz w:val="22"/>
          <w:szCs w:val="22"/>
        </w:rPr>
        <w:t xml:space="preserve">all </w:t>
      </w:r>
      <w:r w:rsidR="00C65431" w:rsidRPr="00C65431">
        <w:rPr>
          <w:rFonts w:ascii="Arial" w:hAnsi="Arial" w:cs="Arial"/>
          <w:bCs/>
          <w:sz w:val="22"/>
          <w:szCs w:val="22"/>
        </w:rPr>
        <w:t xml:space="preserve">savings and efficiencies </w:t>
      </w:r>
      <w:r w:rsidR="006B206F" w:rsidRPr="006B206F">
        <w:rPr>
          <w:rFonts w:ascii="Arial" w:hAnsi="Arial" w:cs="Arial"/>
          <w:bCs/>
          <w:sz w:val="22"/>
          <w:szCs w:val="22"/>
        </w:rPr>
        <w:t>will be delivered</w:t>
      </w:r>
      <w:r w:rsidR="00C2567C">
        <w:rPr>
          <w:rFonts w:ascii="Arial" w:hAnsi="Arial" w:cs="Arial"/>
          <w:bCs/>
          <w:sz w:val="22"/>
          <w:szCs w:val="22"/>
        </w:rPr>
        <w:t>.</w:t>
      </w:r>
    </w:p>
    <w:p w:rsidR="006B206F" w:rsidRPr="006B206F" w:rsidRDefault="006B206F" w:rsidP="006B206F">
      <w:pPr>
        <w:ind w:left="709"/>
        <w:rPr>
          <w:rFonts w:ascii="Arial" w:hAnsi="Arial" w:cs="Arial"/>
          <w:bCs/>
          <w:sz w:val="22"/>
          <w:szCs w:val="22"/>
        </w:rPr>
      </w:pPr>
    </w:p>
    <w:p w:rsidR="006B206F" w:rsidRDefault="006C26CA" w:rsidP="00C200C1">
      <w:pPr>
        <w:ind w:left="709" w:hanging="425"/>
        <w:rPr>
          <w:rFonts w:ascii="Arial" w:hAnsi="Arial" w:cs="Arial"/>
          <w:bCs/>
          <w:sz w:val="22"/>
          <w:szCs w:val="22"/>
        </w:rPr>
      </w:pPr>
      <w:r>
        <w:rPr>
          <w:rFonts w:ascii="Arial" w:hAnsi="Arial" w:cs="Arial"/>
          <w:bCs/>
          <w:sz w:val="22"/>
          <w:szCs w:val="22"/>
        </w:rPr>
        <w:t>2.</w:t>
      </w:r>
      <w:r w:rsidR="007A612F">
        <w:rPr>
          <w:rFonts w:ascii="Arial" w:hAnsi="Arial" w:cs="Arial"/>
          <w:bCs/>
          <w:sz w:val="22"/>
          <w:szCs w:val="22"/>
        </w:rPr>
        <w:t>6</w:t>
      </w:r>
      <w:r>
        <w:rPr>
          <w:rFonts w:ascii="Arial" w:hAnsi="Arial" w:cs="Arial"/>
          <w:bCs/>
          <w:sz w:val="22"/>
          <w:szCs w:val="22"/>
        </w:rPr>
        <w:tab/>
      </w:r>
      <w:r w:rsidR="006B206F" w:rsidRPr="006B206F">
        <w:rPr>
          <w:rFonts w:ascii="Arial" w:hAnsi="Arial" w:cs="Arial"/>
          <w:bCs/>
          <w:sz w:val="22"/>
          <w:szCs w:val="22"/>
        </w:rPr>
        <w:t xml:space="preserve">Cumulative efficiencies, service reductions and additional fees and charges achieved as at the end of </w:t>
      </w:r>
      <w:r w:rsidR="00440EDF">
        <w:rPr>
          <w:rFonts w:ascii="Arial" w:hAnsi="Arial" w:cs="Arial"/>
          <w:bCs/>
          <w:sz w:val="22"/>
          <w:szCs w:val="22"/>
        </w:rPr>
        <w:t>September</w:t>
      </w:r>
      <w:r w:rsidR="006B206F" w:rsidRPr="008A32F2">
        <w:rPr>
          <w:rFonts w:ascii="Arial" w:hAnsi="Arial" w:cs="Arial"/>
          <w:bCs/>
          <w:sz w:val="22"/>
          <w:szCs w:val="22"/>
        </w:rPr>
        <w:t xml:space="preserve"> were £</w:t>
      </w:r>
      <w:r w:rsidR="00D76ABA">
        <w:rPr>
          <w:rFonts w:ascii="Arial" w:hAnsi="Arial" w:cs="Arial"/>
          <w:bCs/>
          <w:sz w:val="22"/>
          <w:szCs w:val="22"/>
        </w:rPr>
        <w:t>1.559</w:t>
      </w:r>
      <w:r w:rsidR="006B206F" w:rsidRPr="008A32F2">
        <w:rPr>
          <w:rFonts w:ascii="Arial" w:hAnsi="Arial" w:cs="Arial"/>
          <w:bCs/>
          <w:sz w:val="22"/>
          <w:szCs w:val="22"/>
        </w:rPr>
        <w:t xml:space="preserve"> million.</w:t>
      </w:r>
    </w:p>
    <w:p w:rsidR="006E3BBA" w:rsidRPr="005E1EAE" w:rsidRDefault="006E3BBA" w:rsidP="006E3BBA">
      <w:pPr>
        <w:ind w:left="709"/>
        <w:rPr>
          <w:rFonts w:ascii="Arial" w:hAnsi="Arial" w:cs="Arial"/>
          <w:bCs/>
          <w:sz w:val="22"/>
          <w:szCs w:val="22"/>
        </w:rPr>
      </w:pPr>
    </w:p>
    <w:p w:rsidR="006E3BBA" w:rsidRPr="00563A52" w:rsidRDefault="006E3BBA" w:rsidP="006C26CA">
      <w:pPr>
        <w:ind w:left="720" w:hanging="436"/>
        <w:rPr>
          <w:rFonts w:ascii="Arial" w:hAnsi="Arial" w:cs="Arial"/>
          <w:b/>
          <w:bCs/>
          <w:sz w:val="22"/>
          <w:szCs w:val="22"/>
        </w:rPr>
      </w:pPr>
      <w:r w:rsidRPr="00563A52">
        <w:rPr>
          <w:rFonts w:ascii="Arial" w:hAnsi="Arial" w:cs="Arial"/>
          <w:b/>
          <w:bCs/>
          <w:sz w:val="22"/>
          <w:szCs w:val="22"/>
        </w:rPr>
        <w:t>3</w:t>
      </w:r>
      <w:r w:rsidRPr="00563A52">
        <w:rPr>
          <w:rFonts w:ascii="Arial" w:hAnsi="Arial" w:cs="Arial"/>
          <w:b/>
          <w:bCs/>
          <w:sz w:val="22"/>
          <w:szCs w:val="22"/>
        </w:rPr>
        <w:tab/>
      </w:r>
      <w:r w:rsidR="00C2567C" w:rsidRPr="00C2567C">
        <w:rPr>
          <w:rFonts w:ascii="Arial" w:hAnsi="Arial" w:cs="Arial"/>
          <w:b/>
          <w:bCs/>
          <w:sz w:val="22"/>
          <w:szCs w:val="22"/>
          <w:u w:val="single"/>
        </w:rPr>
        <w:t xml:space="preserve">Corporate </w:t>
      </w:r>
      <w:r w:rsidRPr="00C2567C">
        <w:rPr>
          <w:rFonts w:ascii="Arial" w:hAnsi="Arial" w:cs="Arial"/>
          <w:b/>
          <w:bCs/>
          <w:sz w:val="22"/>
          <w:szCs w:val="22"/>
          <w:u w:val="single"/>
        </w:rPr>
        <w:t>P</w:t>
      </w:r>
      <w:r w:rsidR="002F564B" w:rsidRPr="002F564B">
        <w:rPr>
          <w:rFonts w:ascii="Arial" w:hAnsi="Arial" w:cs="Arial"/>
          <w:b/>
          <w:bCs/>
          <w:sz w:val="22"/>
          <w:szCs w:val="22"/>
          <w:u w:val="single"/>
        </w:rPr>
        <w:t xml:space="preserve">erformance </w:t>
      </w:r>
      <w:r w:rsidR="00C2567C">
        <w:rPr>
          <w:rFonts w:ascii="Arial" w:hAnsi="Arial" w:cs="Arial"/>
          <w:b/>
          <w:bCs/>
          <w:sz w:val="22"/>
          <w:szCs w:val="22"/>
          <w:u w:val="single"/>
        </w:rPr>
        <w:t>Exceptions</w:t>
      </w:r>
    </w:p>
    <w:p w:rsidR="006E3BBA" w:rsidRDefault="006E3BBA" w:rsidP="006E3BBA">
      <w:pPr>
        <w:ind w:left="720"/>
        <w:rPr>
          <w:rFonts w:ascii="Arial" w:hAnsi="Arial" w:cs="Arial"/>
          <w:b/>
          <w:bCs/>
          <w:sz w:val="22"/>
          <w:szCs w:val="22"/>
        </w:rPr>
      </w:pPr>
    </w:p>
    <w:p w:rsidR="00FA37EB" w:rsidRPr="009B2677" w:rsidRDefault="006C26CA" w:rsidP="00FA37EB">
      <w:pPr>
        <w:ind w:left="720" w:hanging="436"/>
        <w:rPr>
          <w:rFonts w:ascii="Arial" w:hAnsi="Arial" w:cs="Arial"/>
          <w:bCs/>
          <w:sz w:val="22"/>
          <w:szCs w:val="22"/>
        </w:rPr>
      </w:pPr>
      <w:r w:rsidRPr="009B2677">
        <w:rPr>
          <w:rFonts w:ascii="Arial" w:hAnsi="Arial" w:cs="Arial"/>
          <w:bCs/>
          <w:sz w:val="22"/>
          <w:szCs w:val="22"/>
        </w:rPr>
        <w:t>3.1</w:t>
      </w:r>
      <w:r w:rsidRPr="009B2677">
        <w:rPr>
          <w:rFonts w:ascii="Arial" w:hAnsi="Arial" w:cs="Arial"/>
          <w:bCs/>
          <w:sz w:val="22"/>
          <w:szCs w:val="22"/>
        </w:rPr>
        <w:tab/>
      </w:r>
      <w:r w:rsidR="00FA37EB" w:rsidRPr="009B2677">
        <w:rPr>
          <w:rFonts w:ascii="Arial" w:hAnsi="Arial" w:cs="Arial"/>
          <w:b/>
          <w:bCs/>
          <w:sz w:val="22"/>
          <w:szCs w:val="22"/>
        </w:rPr>
        <w:t xml:space="preserve">Overall the Council’s performance against its corporate targets is </w:t>
      </w:r>
      <w:r w:rsidR="00FA37EB">
        <w:rPr>
          <w:rFonts w:ascii="Arial" w:hAnsi="Arial" w:cs="Arial"/>
          <w:b/>
          <w:bCs/>
          <w:sz w:val="22"/>
          <w:szCs w:val="22"/>
        </w:rPr>
        <w:t>Good</w:t>
      </w:r>
      <w:r w:rsidR="00FA37EB" w:rsidRPr="009B2677">
        <w:rPr>
          <w:rFonts w:ascii="Arial" w:hAnsi="Arial" w:cs="Arial"/>
          <w:bCs/>
          <w:sz w:val="22"/>
          <w:szCs w:val="22"/>
        </w:rPr>
        <w:t xml:space="preserve"> with </w:t>
      </w:r>
      <w:r w:rsidR="00734299">
        <w:rPr>
          <w:rFonts w:ascii="Arial" w:hAnsi="Arial" w:cs="Arial"/>
          <w:bCs/>
          <w:sz w:val="22"/>
          <w:szCs w:val="22"/>
        </w:rPr>
        <w:t>14</w:t>
      </w:r>
      <w:r w:rsidR="00734299" w:rsidRPr="00F64D82">
        <w:rPr>
          <w:rFonts w:ascii="Arial" w:hAnsi="Arial" w:cs="Arial"/>
          <w:bCs/>
          <w:sz w:val="22"/>
          <w:szCs w:val="22"/>
        </w:rPr>
        <w:t xml:space="preserve"> </w:t>
      </w:r>
      <w:r w:rsidR="00FA37EB" w:rsidRPr="00F64D82">
        <w:rPr>
          <w:rFonts w:ascii="Arial" w:hAnsi="Arial" w:cs="Arial"/>
          <w:bCs/>
          <w:sz w:val="22"/>
          <w:szCs w:val="22"/>
        </w:rPr>
        <w:t>(</w:t>
      </w:r>
      <w:r w:rsidR="00734299">
        <w:rPr>
          <w:rFonts w:ascii="Arial" w:hAnsi="Arial" w:cs="Arial"/>
          <w:bCs/>
          <w:sz w:val="22"/>
          <w:szCs w:val="22"/>
        </w:rPr>
        <w:t>74</w:t>
      </w:r>
      <w:r w:rsidR="00FA37EB" w:rsidRPr="00F64D82">
        <w:rPr>
          <w:rFonts w:ascii="Arial" w:hAnsi="Arial" w:cs="Arial"/>
          <w:bCs/>
          <w:sz w:val="22"/>
          <w:szCs w:val="22"/>
        </w:rPr>
        <w:t xml:space="preserve">%) being delivered as planned, </w:t>
      </w:r>
      <w:r w:rsidR="00734299">
        <w:rPr>
          <w:rFonts w:ascii="Arial" w:hAnsi="Arial" w:cs="Arial"/>
          <w:bCs/>
          <w:sz w:val="22"/>
          <w:szCs w:val="22"/>
        </w:rPr>
        <w:t>three</w:t>
      </w:r>
      <w:r w:rsidR="00734299" w:rsidRPr="00F64D82">
        <w:rPr>
          <w:rFonts w:ascii="Arial" w:hAnsi="Arial" w:cs="Arial"/>
          <w:bCs/>
          <w:sz w:val="22"/>
          <w:szCs w:val="22"/>
        </w:rPr>
        <w:t xml:space="preserve"> </w:t>
      </w:r>
      <w:r w:rsidR="00FA37EB" w:rsidRPr="00F64D82">
        <w:rPr>
          <w:rFonts w:ascii="Arial" w:hAnsi="Arial" w:cs="Arial"/>
          <w:bCs/>
          <w:sz w:val="22"/>
          <w:szCs w:val="22"/>
        </w:rPr>
        <w:t>(</w:t>
      </w:r>
      <w:r w:rsidR="00734299">
        <w:rPr>
          <w:rFonts w:ascii="Arial" w:hAnsi="Arial" w:cs="Arial"/>
          <w:bCs/>
          <w:sz w:val="22"/>
          <w:szCs w:val="22"/>
        </w:rPr>
        <w:t>16</w:t>
      </w:r>
      <w:r w:rsidR="00FA37EB" w:rsidRPr="00F64D82">
        <w:rPr>
          <w:rFonts w:ascii="Arial" w:hAnsi="Arial" w:cs="Arial"/>
          <w:bCs/>
          <w:sz w:val="22"/>
          <w:szCs w:val="22"/>
        </w:rPr>
        <w:t xml:space="preserve">%) below target but within acceptable tolerance limits and </w:t>
      </w:r>
      <w:r w:rsidR="00FA37EB">
        <w:rPr>
          <w:rFonts w:ascii="Arial" w:hAnsi="Arial" w:cs="Arial"/>
          <w:bCs/>
          <w:sz w:val="22"/>
          <w:szCs w:val="22"/>
        </w:rPr>
        <w:t>two</w:t>
      </w:r>
      <w:r w:rsidR="00FA37EB" w:rsidRPr="00F64D82">
        <w:rPr>
          <w:rFonts w:ascii="Arial" w:hAnsi="Arial" w:cs="Arial"/>
          <w:bCs/>
          <w:sz w:val="22"/>
          <w:szCs w:val="22"/>
        </w:rPr>
        <w:t xml:space="preserve"> (</w:t>
      </w:r>
      <w:r w:rsidR="00FA37EB">
        <w:rPr>
          <w:rFonts w:ascii="Arial" w:hAnsi="Arial" w:cs="Arial"/>
          <w:bCs/>
          <w:sz w:val="22"/>
          <w:szCs w:val="22"/>
        </w:rPr>
        <w:t>1</w:t>
      </w:r>
      <w:r w:rsidR="00734299">
        <w:rPr>
          <w:rFonts w:ascii="Arial" w:hAnsi="Arial" w:cs="Arial"/>
          <w:bCs/>
          <w:sz w:val="22"/>
          <w:szCs w:val="22"/>
        </w:rPr>
        <w:t>0</w:t>
      </w:r>
      <w:r w:rsidR="00FA37EB" w:rsidRPr="00F64D82">
        <w:rPr>
          <w:rFonts w:ascii="Arial" w:hAnsi="Arial" w:cs="Arial"/>
          <w:bCs/>
          <w:sz w:val="22"/>
          <w:szCs w:val="22"/>
        </w:rPr>
        <w:t xml:space="preserve">%) not meeting </w:t>
      </w:r>
      <w:r w:rsidR="00FA37EB">
        <w:rPr>
          <w:rFonts w:ascii="Arial" w:hAnsi="Arial" w:cs="Arial"/>
          <w:bCs/>
          <w:sz w:val="22"/>
          <w:szCs w:val="22"/>
        </w:rPr>
        <w:t>their</w:t>
      </w:r>
      <w:r w:rsidR="00FA37EB" w:rsidRPr="00F64D82">
        <w:rPr>
          <w:rFonts w:ascii="Arial" w:hAnsi="Arial" w:cs="Arial"/>
          <w:bCs/>
          <w:sz w:val="22"/>
          <w:szCs w:val="22"/>
        </w:rPr>
        <w:t xml:space="preserve"> target.</w:t>
      </w:r>
      <w:r w:rsidR="00FA37EB" w:rsidRPr="009B2677">
        <w:rPr>
          <w:rFonts w:ascii="Arial" w:hAnsi="Arial" w:cs="Arial"/>
          <w:bCs/>
          <w:sz w:val="22"/>
          <w:szCs w:val="22"/>
        </w:rPr>
        <w:t xml:space="preserve"> Exceptions to targeted performance are set out below</w:t>
      </w:r>
    </w:p>
    <w:p w:rsidR="00FA37EB" w:rsidRPr="00563A52" w:rsidRDefault="00FA37EB" w:rsidP="00FA37EB">
      <w:pPr>
        <w:ind w:left="720"/>
        <w:rPr>
          <w:rFonts w:ascii="Arial" w:hAnsi="Arial" w:cs="Arial"/>
          <w:b/>
          <w:bCs/>
          <w:sz w:val="22"/>
          <w:szCs w:val="22"/>
        </w:rPr>
      </w:pPr>
    </w:p>
    <w:p w:rsidR="00FA37EB" w:rsidRPr="00563A52" w:rsidRDefault="00FA37EB" w:rsidP="00FA37EB">
      <w:pPr>
        <w:ind w:left="720"/>
        <w:rPr>
          <w:rFonts w:ascii="Arial" w:hAnsi="Arial" w:cs="Arial"/>
          <w:b/>
          <w:bCs/>
          <w:sz w:val="22"/>
          <w:szCs w:val="22"/>
        </w:rPr>
      </w:pPr>
      <w:r w:rsidRPr="00563A52">
        <w:rPr>
          <w:rFonts w:ascii="Arial" w:hAnsi="Arial" w:cs="Arial"/>
          <w:b/>
          <w:bCs/>
          <w:sz w:val="22"/>
          <w:szCs w:val="22"/>
          <w:u w:val="single"/>
        </w:rPr>
        <w:t>Corporate performance indicator exceptions</w:t>
      </w:r>
    </w:p>
    <w:p w:rsidR="00FA37EB" w:rsidRPr="00563A52" w:rsidRDefault="00FA37EB" w:rsidP="00FA37EB">
      <w:pPr>
        <w:ind w:left="720"/>
        <w:rPr>
          <w:rFonts w:ascii="Arial" w:hAnsi="Arial" w:cs="Arial"/>
          <w:sz w:val="22"/>
          <w:szCs w:val="22"/>
        </w:rPr>
      </w:pPr>
    </w:p>
    <w:p w:rsidR="00FA37EB" w:rsidRPr="00563A52" w:rsidRDefault="00FA37EB" w:rsidP="00FA37EB">
      <w:pPr>
        <w:ind w:left="720"/>
        <w:rPr>
          <w:rFonts w:ascii="Arial" w:hAnsi="Arial" w:cs="Arial"/>
          <w:b/>
          <w:bCs/>
          <w:sz w:val="22"/>
          <w:szCs w:val="22"/>
        </w:rPr>
      </w:pPr>
      <w:r w:rsidRPr="00563A52">
        <w:rPr>
          <w:rFonts w:ascii="Arial" w:hAnsi="Arial" w:cs="Arial"/>
          <w:b/>
          <w:bCs/>
          <w:sz w:val="22"/>
          <w:szCs w:val="22"/>
        </w:rPr>
        <w:t xml:space="preserve">Red: </w:t>
      </w:r>
    </w:p>
    <w:p w:rsidR="00FA37EB" w:rsidRDefault="00FA37EB" w:rsidP="00FA37EB">
      <w:pPr>
        <w:ind w:left="720"/>
        <w:rPr>
          <w:rFonts w:ascii="Arial" w:hAnsi="Arial" w:cs="Arial"/>
          <w:sz w:val="22"/>
          <w:szCs w:val="22"/>
        </w:rPr>
      </w:pPr>
    </w:p>
    <w:p w:rsidR="00FA37EB" w:rsidRDefault="00FA37EB" w:rsidP="00FA37EB">
      <w:pPr>
        <w:ind w:left="720" w:hanging="436"/>
        <w:rPr>
          <w:rFonts w:ascii="Arial" w:hAnsi="Arial" w:cs="Arial"/>
          <w:sz w:val="22"/>
          <w:szCs w:val="22"/>
        </w:rPr>
      </w:pPr>
      <w:r w:rsidRPr="009C779D">
        <w:rPr>
          <w:rFonts w:ascii="Arial" w:hAnsi="Arial" w:cs="Arial"/>
          <w:sz w:val="22"/>
          <w:szCs w:val="22"/>
        </w:rPr>
        <w:t>3.2</w:t>
      </w:r>
      <w:r w:rsidRPr="009C779D">
        <w:rPr>
          <w:rFonts w:ascii="Arial" w:hAnsi="Arial" w:cs="Arial"/>
          <w:sz w:val="22"/>
          <w:szCs w:val="22"/>
        </w:rPr>
        <w:tab/>
      </w:r>
      <w:r w:rsidRPr="00F64D82">
        <w:rPr>
          <w:rFonts w:ascii="Arial" w:hAnsi="Arial" w:cs="Arial"/>
          <w:b/>
          <w:sz w:val="22"/>
          <w:szCs w:val="22"/>
        </w:rPr>
        <w:t>Vibrant and Sustainable Economy:</w:t>
      </w:r>
      <w:r>
        <w:rPr>
          <w:rFonts w:ascii="Arial" w:hAnsi="Arial" w:cs="Arial"/>
          <w:sz w:val="22"/>
          <w:szCs w:val="22"/>
        </w:rPr>
        <w:t xml:space="preserve"> The number of training places and jobs created as a result of Council investment and leadership – current performance is 432 jobs and training places against a second quarter target of 487. However, information has not yet been received from two construction contractors, and so may be higher than shown. We are pressing for the missing data</w:t>
      </w:r>
    </w:p>
    <w:p w:rsidR="00FA37EB" w:rsidRDefault="00FA37EB" w:rsidP="00FA37EB">
      <w:pPr>
        <w:ind w:left="720" w:hanging="436"/>
        <w:rPr>
          <w:rFonts w:ascii="Arial" w:hAnsi="Arial" w:cs="Arial"/>
          <w:sz w:val="22"/>
          <w:szCs w:val="22"/>
        </w:rPr>
      </w:pPr>
    </w:p>
    <w:p w:rsidR="00FA37EB" w:rsidRDefault="00FA37EB" w:rsidP="00FA37EB">
      <w:pPr>
        <w:ind w:left="720" w:hanging="436"/>
        <w:rPr>
          <w:rFonts w:ascii="Arial" w:hAnsi="Arial" w:cs="Arial"/>
          <w:sz w:val="22"/>
          <w:szCs w:val="22"/>
        </w:rPr>
      </w:pPr>
      <w:r>
        <w:rPr>
          <w:rFonts w:ascii="Arial" w:hAnsi="Arial" w:cs="Arial"/>
          <w:bCs/>
          <w:sz w:val="22"/>
          <w:szCs w:val="22"/>
        </w:rPr>
        <w:t>3.3</w:t>
      </w:r>
      <w:r w:rsidRPr="00850BC1">
        <w:rPr>
          <w:rFonts w:ascii="Arial" w:hAnsi="Arial" w:cs="Arial"/>
          <w:bCs/>
          <w:sz w:val="22"/>
          <w:szCs w:val="22"/>
        </w:rPr>
        <w:tab/>
      </w:r>
      <w:r w:rsidRPr="00F64D82">
        <w:rPr>
          <w:rFonts w:ascii="Arial" w:hAnsi="Arial" w:cs="Arial"/>
          <w:b/>
          <w:sz w:val="22"/>
          <w:szCs w:val="22"/>
        </w:rPr>
        <w:t>Vibrant and Sustainable Economy:</w:t>
      </w:r>
      <w:r>
        <w:rPr>
          <w:rFonts w:ascii="Arial" w:hAnsi="Arial" w:cs="Arial"/>
          <w:sz w:val="22"/>
          <w:szCs w:val="22"/>
        </w:rPr>
        <w:t xml:space="preserve"> The number of Council apprenticeships created through Council investment for those who live in Oxford – 18 apprentices were employed in September, short of the target of 26. </w:t>
      </w:r>
      <w:r w:rsidR="00D30D2C">
        <w:rPr>
          <w:rFonts w:ascii="Arial" w:hAnsi="Arial" w:cs="Arial"/>
          <w:sz w:val="22"/>
          <w:szCs w:val="22"/>
        </w:rPr>
        <w:t>This can be explained by s</w:t>
      </w:r>
      <w:r>
        <w:rPr>
          <w:rFonts w:ascii="Arial" w:hAnsi="Arial" w:cs="Arial"/>
          <w:sz w:val="22"/>
          <w:szCs w:val="22"/>
        </w:rPr>
        <w:t xml:space="preserve">ome apprentices in Direct Services have completed their training and </w:t>
      </w:r>
      <w:r w:rsidR="00540C6C">
        <w:rPr>
          <w:rFonts w:ascii="Arial" w:hAnsi="Arial" w:cs="Arial"/>
          <w:sz w:val="22"/>
          <w:szCs w:val="22"/>
        </w:rPr>
        <w:t xml:space="preserve">six </w:t>
      </w:r>
      <w:r>
        <w:rPr>
          <w:rFonts w:ascii="Arial" w:hAnsi="Arial" w:cs="Arial"/>
          <w:sz w:val="22"/>
          <w:szCs w:val="22"/>
        </w:rPr>
        <w:t xml:space="preserve">have now been appointed into full time roles. </w:t>
      </w:r>
      <w:r w:rsidRPr="003F7B7B">
        <w:rPr>
          <w:rFonts w:ascii="Arial" w:hAnsi="Arial" w:cs="Arial"/>
          <w:sz w:val="22"/>
          <w:szCs w:val="22"/>
        </w:rPr>
        <w:t>Direct Services also ran a NEET apprenticeship programme for the second time in 2015 but this time with fewer appointees</w:t>
      </w:r>
      <w:r>
        <w:rPr>
          <w:rFonts w:ascii="Arial" w:hAnsi="Arial" w:cs="Arial"/>
          <w:sz w:val="22"/>
          <w:szCs w:val="22"/>
        </w:rPr>
        <w:t>. Two service areas are not replacing apprenticeships that did not progress beyond their probation period. Other services are in the process of putting together bids or planning to recruit to apprenticeships but these had not come to fruition by September. In addition, a</w:t>
      </w:r>
      <w:r w:rsidRPr="003F7B7B">
        <w:rPr>
          <w:rFonts w:ascii="Arial" w:hAnsi="Arial" w:cs="Arial"/>
          <w:sz w:val="22"/>
          <w:szCs w:val="22"/>
        </w:rPr>
        <w:t>pprenticeship candidates have reduced during recruitment campaigns, with many potential applicants opting to stay in full time education.</w:t>
      </w:r>
    </w:p>
    <w:p w:rsidR="00FA37EB" w:rsidRPr="00563A52" w:rsidRDefault="00FA37EB" w:rsidP="00FA37EB">
      <w:pPr>
        <w:ind w:left="720"/>
        <w:rPr>
          <w:rFonts w:ascii="Arial" w:hAnsi="Arial" w:cs="Arial"/>
          <w:sz w:val="22"/>
          <w:szCs w:val="22"/>
        </w:rPr>
      </w:pPr>
      <w:bookmarkStart w:id="0" w:name="_GoBack"/>
      <w:bookmarkEnd w:id="0"/>
    </w:p>
    <w:p w:rsidR="00FA37EB" w:rsidRPr="00563A52" w:rsidRDefault="00FA37EB" w:rsidP="00FA37EB">
      <w:pPr>
        <w:ind w:left="720"/>
        <w:rPr>
          <w:rFonts w:ascii="Arial" w:hAnsi="Arial" w:cs="Arial"/>
          <w:b/>
          <w:bCs/>
          <w:sz w:val="22"/>
          <w:szCs w:val="22"/>
        </w:rPr>
      </w:pPr>
      <w:r w:rsidRPr="00563A52">
        <w:rPr>
          <w:rFonts w:ascii="Arial" w:hAnsi="Arial" w:cs="Arial"/>
          <w:b/>
          <w:bCs/>
          <w:sz w:val="22"/>
          <w:szCs w:val="22"/>
        </w:rPr>
        <w:t>Amber:</w:t>
      </w:r>
    </w:p>
    <w:p w:rsidR="00FA37EB" w:rsidRDefault="00FA37EB" w:rsidP="00FA37EB">
      <w:pPr>
        <w:rPr>
          <w:rFonts w:ascii="Arial" w:hAnsi="Arial" w:cs="Arial"/>
          <w:sz w:val="22"/>
          <w:szCs w:val="22"/>
        </w:rPr>
      </w:pPr>
    </w:p>
    <w:p w:rsidR="00FA37EB" w:rsidRDefault="00FA37EB" w:rsidP="00FA37EB">
      <w:pPr>
        <w:ind w:left="720" w:hanging="436"/>
        <w:rPr>
          <w:rFonts w:ascii="Arial" w:hAnsi="Arial" w:cs="Arial"/>
          <w:sz w:val="22"/>
          <w:szCs w:val="22"/>
        </w:rPr>
      </w:pPr>
      <w:r>
        <w:rPr>
          <w:rFonts w:ascii="Arial" w:hAnsi="Arial" w:cs="Arial"/>
          <w:sz w:val="22"/>
          <w:szCs w:val="22"/>
        </w:rPr>
        <w:t>3.4</w:t>
      </w:r>
      <w:r>
        <w:rPr>
          <w:rFonts w:ascii="Arial" w:hAnsi="Arial" w:cs="Arial"/>
          <w:sz w:val="22"/>
          <w:szCs w:val="22"/>
        </w:rPr>
        <w:tab/>
      </w:r>
      <w:r w:rsidRPr="00F2792F">
        <w:rPr>
          <w:rFonts w:ascii="Arial" w:hAnsi="Arial" w:cs="Arial"/>
          <w:b/>
          <w:sz w:val="22"/>
          <w:szCs w:val="22"/>
        </w:rPr>
        <w:t>Efficient and Effective Council:</w:t>
      </w:r>
      <w:r>
        <w:rPr>
          <w:rFonts w:ascii="Arial" w:hAnsi="Arial" w:cs="Arial"/>
          <w:sz w:val="22"/>
          <w:szCs w:val="22"/>
        </w:rPr>
        <w:t xml:space="preserve"> The delivery of the Council’s efficiency savings – savings to date are </w:t>
      </w:r>
      <w:r w:rsidRPr="008C3AFF">
        <w:rPr>
          <w:rFonts w:ascii="Arial" w:hAnsi="Arial" w:cs="Arial"/>
          <w:sz w:val="22"/>
          <w:szCs w:val="22"/>
        </w:rPr>
        <w:t>£1</w:t>
      </w:r>
      <w:r w:rsidR="007A7547">
        <w:rPr>
          <w:rFonts w:ascii="Arial" w:hAnsi="Arial" w:cs="Arial"/>
          <w:sz w:val="22"/>
          <w:szCs w:val="22"/>
        </w:rPr>
        <w:t>.</w:t>
      </w:r>
      <w:r w:rsidRPr="008C3AFF">
        <w:rPr>
          <w:rFonts w:ascii="Arial" w:hAnsi="Arial" w:cs="Arial"/>
          <w:sz w:val="22"/>
          <w:szCs w:val="22"/>
        </w:rPr>
        <w:t>559</w:t>
      </w:r>
      <w:r w:rsidR="007A7547">
        <w:rPr>
          <w:rFonts w:ascii="Arial" w:hAnsi="Arial" w:cs="Arial"/>
          <w:sz w:val="22"/>
          <w:szCs w:val="22"/>
        </w:rPr>
        <w:t xml:space="preserve"> million</w:t>
      </w:r>
      <w:r>
        <w:rPr>
          <w:rFonts w:ascii="Arial" w:hAnsi="Arial" w:cs="Arial"/>
          <w:sz w:val="22"/>
          <w:szCs w:val="22"/>
        </w:rPr>
        <w:t xml:space="preserve"> and marginally under the September target of </w:t>
      </w:r>
      <w:r w:rsidRPr="00F615DB">
        <w:rPr>
          <w:rFonts w:ascii="Arial" w:hAnsi="Arial" w:cs="Arial"/>
          <w:sz w:val="22"/>
          <w:szCs w:val="22"/>
        </w:rPr>
        <w:t>£1</w:t>
      </w:r>
      <w:r w:rsidR="007A7547">
        <w:rPr>
          <w:rFonts w:ascii="Arial" w:hAnsi="Arial" w:cs="Arial"/>
          <w:sz w:val="22"/>
          <w:szCs w:val="22"/>
        </w:rPr>
        <w:t>.</w:t>
      </w:r>
      <w:r w:rsidRPr="00F615DB">
        <w:rPr>
          <w:rFonts w:ascii="Arial" w:hAnsi="Arial" w:cs="Arial"/>
          <w:sz w:val="22"/>
          <w:szCs w:val="22"/>
        </w:rPr>
        <w:t>561</w:t>
      </w:r>
      <w:r w:rsidR="007A7547">
        <w:rPr>
          <w:rFonts w:ascii="Arial" w:hAnsi="Arial" w:cs="Arial"/>
          <w:sz w:val="22"/>
          <w:szCs w:val="22"/>
        </w:rPr>
        <w:t xml:space="preserve"> million</w:t>
      </w:r>
      <w:r>
        <w:rPr>
          <w:rFonts w:ascii="Arial" w:hAnsi="Arial" w:cs="Arial"/>
          <w:sz w:val="22"/>
          <w:szCs w:val="22"/>
        </w:rPr>
        <w:t xml:space="preserve">. </w:t>
      </w:r>
      <w:r w:rsidRPr="00715236">
        <w:rPr>
          <w:rFonts w:ascii="Arial" w:hAnsi="Arial" w:cs="Arial"/>
          <w:sz w:val="22"/>
          <w:szCs w:val="22"/>
        </w:rPr>
        <w:t>T</w:t>
      </w:r>
      <w:r>
        <w:rPr>
          <w:rFonts w:ascii="Arial" w:hAnsi="Arial" w:cs="Arial"/>
          <w:sz w:val="22"/>
          <w:szCs w:val="22"/>
        </w:rPr>
        <w:t>his</w:t>
      </w:r>
      <w:r w:rsidRPr="00715236">
        <w:rPr>
          <w:rFonts w:ascii="Arial" w:hAnsi="Arial" w:cs="Arial"/>
          <w:sz w:val="22"/>
          <w:szCs w:val="22"/>
        </w:rPr>
        <w:t xml:space="preserve"> is expected to be achieved by the end of the year.</w:t>
      </w:r>
    </w:p>
    <w:p w:rsidR="00FA37EB" w:rsidRDefault="00FA37EB" w:rsidP="00FA37EB">
      <w:pPr>
        <w:ind w:left="720" w:hanging="436"/>
        <w:rPr>
          <w:rFonts w:ascii="Arial" w:hAnsi="Arial" w:cs="Arial"/>
          <w:sz w:val="22"/>
          <w:szCs w:val="22"/>
        </w:rPr>
      </w:pPr>
    </w:p>
    <w:p w:rsidR="00FA37EB" w:rsidRDefault="00FA37EB" w:rsidP="00FA37EB">
      <w:pPr>
        <w:ind w:left="720" w:hanging="436"/>
        <w:rPr>
          <w:rFonts w:ascii="Arial" w:hAnsi="Arial" w:cs="Arial"/>
          <w:sz w:val="22"/>
          <w:szCs w:val="22"/>
        </w:rPr>
      </w:pPr>
      <w:r>
        <w:rPr>
          <w:rFonts w:ascii="Arial" w:hAnsi="Arial" w:cs="Arial"/>
          <w:sz w:val="22"/>
          <w:szCs w:val="22"/>
        </w:rPr>
        <w:t>3.5</w:t>
      </w:r>
      <w:r>
        <w:rPr>
          <w:rFonts w:ascii="Arial" w:hAnsi="Arial" w:cs="Arial"/>
          <w:sz w:val="22"/>
          <w:szCs w:val="22"/>
        </w:rPr>
        <w:tab/>
      </w:r>
      <w:r>
        <w:rPr>
          <w:rFonts w:ascii="Arial" w:hAnsi="Arial" w:cs="Arial"/>
          <w:b/>
          <w:sz w:val="22"/>
          <w:szCs w:val="22"/>
        </w:rPr>
        <w:t>Meeting Housing Need</w:t>
      </w:r>
      <w:r w:rsidRPr="00F2792F">
        <w:rPr>
          <w:rFonts w:ascii="Arial" w:hAnsi="Arial" w:cs="Arial"/>
          <w:b/>
          <w:sz w:val="22"/>
          <w:szCs w:val="22"/>
        </w:rPr>
        <w:t>:</w:t>
      </w:r>
      <w:r>
        <w:rPr>
          <w:rFonts w:ascii="Arial" w:hAnsi="Arial" w:cs="Arial"/>
          <w:sz w:val="22"/>
          <w:szCs w:val="22"/>
        </w:rPr>
        <w:t xml:space="preserve"> </w:t>
      </w:r>
      <w:r w:rsidRPr="007D58E5">
        <w:rPr>
          <w:rFonts w:ascii="Arial" w:hAnsi="Arial" w:cs="Arial"/>
          <w:sz w:val="22"/>
          <w:szCs w:val="22"/>
        </w:rPr>
        <w:t>The number of households in Oxford in temporary accommodation</w:t>
      </w:r>
      <w:r>
        <w:rPr>
          <w:rFonts w:ascii="Arial" w:hAnsi="Arial" w:cs="Arial"/>
          <w:sz w:val="22"/>
          <w:szCs w:val="22"/>
        </w:rPr>
        <w:t xml:space="preserve"> – t</w:t>
      </w:r>
      <w:r w:rsidRPr="007D58E5">
        <w:rPr>
          <w:rFonts w:ascii="Arial" w:hAnsi="Arial" w:cs="Arial"/>
          <w:sz w:val="22"/>
          <w:szCs w:val="22"/>
        </w:rPr>
        <w:t>he service saw an unexpectedly high number of homeless families in September that required placements into temporary accommodation</w:t>
      </w:r>
      <w:r>
        <w:rPr>
          <w:rFonts w:ascii="Arial" w:hAnsi="Arial" w:cs="Arial"/>
          <w:sz w:val="22"/>
          <w:szCs w:val="22"/>
        </w:rPr>
        <w:t>, leading to a total of 128 households using this accommodation against a target of 120</w:t>
      </w:r>
      <w:r w:rsidRPr="007D58E5">
        <w:rPr>
          <w:rFonts w:ascii="Arial" w:hAnsi="Arial" w:cs="Arial"/>
          <w:sz w:val="22"/>
          <w:szCs w:val="22"/>
        </w:rPr>
        <w:t>.  A significant number had lost their private rented accommodation through no fault of their own, and many had not had previous contact with the service.  A significant number were also previous Home Choice cases where the landlords are seeking higher market rates for the property, and where we have been unable to source access to alternative local private rented accommodation that would meet the household</w:t>
      </w:r>
      <w:r>
        <w:rPr>
          <w:rFonts w:ascii="Arial" w:hAnsi="Arial" w:cs="Arial"/>
          <w:sz w:val="22"/>
          <w:szCs w:val="22"/>
        </w:rPr>
        <w:t>’</w:t>
      </w:r>
      <w:r w:rsidRPr="007D58E5">
        <w:rPr>
          <w:rFonts w:ascii="Arial" w:hAnsi="Arial" w:cs="Arial"/>
          <w:sz w:val="22"/>
          <w:szCs w:val="22"/>
        </w:rPr>
        <w:t>s needs.</w:t>
      </w:r>
    </w:p>
    <w:p w:rsidR="00FA37EB" w:rsidRDefault="00FA37EB" w:rsidP="00FA37EB">
      <w:pPr>
        <w:ind w:left="720" w:hanging="436"/>
        <w:rPr>
          <w:rFonts w:ascii="Arial" w:hAnsi="Arial" w:cs="Arial"/>
          <w:sz w:val="22"/>
          <w:szCs w:val="22"/>
        </w:rPr>
      </w:pPr>
    </w:p>
    <w:p w:rsidR="00FA37EB" w:rsidRDefault="00FA37EB" w:rsidP="00FA37EB">
      <w:pPr>
        <w:ind w:left="720" w:hanging="436"/>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b/>
          <w:sz w:val="22"/>
          <w:szCs w:val="22"/>
        </w:rPr>
        <w:t>Strong and Active Communities</w:t>
      </w:r>
      <w:r w:rsidRPr="00F2792F">
        <w:rPr>
          <w:rFonts w:ascii="Arial" w:hAnsi="Arial" w:cs="Arial"/>
          <w:b/>
          <w:sz w:val="22"/>
          <w:szCs w:val="22"/>
        </w:rPr>
        <w:t>:</w:t>
      </w:r>
      <w:r>
        <w:rPr>
          <w:rFonts w:ascii="Arial" w:hAnsi="Arial" w:cs="Arial"/>
          <w:sz w:val="22"/>
          <w:szCs w:val="22"/>
        </w:rPr>
        <w:t xml:space="preserve"> </w:t>
      </w:r>
      <w:r w:rsidRPr="007A575C">
        <w:rPr>
          <w:rFonts w:ascii="Arial" w:hAnsi="Arial" w:cs="Arial"/>
          <w:sz w:val="22"/>
          <w:szCs w:val="22"/>
        </w:rPr>
        <w:t>The number of young people accessing youth engagement projects and activities outside school hours</w:t>
      </w:r>
      <w:r>
        <w:rPr>
          <w:rFonts w:ascii="Arial" w:hAnsi="Arial" w:cs="Arial"/>
          <w:sz w:val="22"/>
          <w:szCs w:val="22"/>
        </w:rPr>
        <w:t xml:space="preserve"> – performance of 3,910</w:t>
      </w:r>
      <w:r w:rsidRPr="007A575C">
        <w:rPr>
          <w:rFonts w:ascii="Arial" w:hAnsi="Arial" w:cs="Arial"/>
          <w:sz w:val="22"/>
          <w:szCs w:val="22"/>
        </w:rPr>
        <w:t xml:space="preserve"> is slightly under target (by approximately 90 young people) </w:t>
      </w:r>
      <w:r>
        <w:rPr>
          <w:rFonts w:ascii="Arial" w:hAnsi="Arial" w:cs="Arial"/>
          <w:sz w:val="22"/>
          <w:szCs w:val="22"/>
        </w:rPr>
        <w:t>but</w:t>
      </w:r>
      <w:r w:rsidRPr="007A575C">
        <w:rPr>
          <w:rFonts w:ascii="Arial" w:hAnsi="Arial" w:cs="Arial"/>
          <w:sz w:val="22"/>
          <w:szCs w:val="22"/>
        </w:rPr>
        <w:t xml:space="preserve"> is currently within its tolerance. </w:t>
      </w:r>
      <w:r w:rsidRPr="009D53CD">
        <w:rPr>
          <w:rFonts w:ascii="Arial" w:hAnsi="Arial" w:cs="Arial"/>
          <w:sz w:val="22"/>
          <w:szCs w:val="22"/>
        </w:rPr>
        <w:t>This is due to final figures not yet being received for the funded programmes and Youth Voice. It is expected that the programme is currently exceeding target with these counted.</w:t>
      </w:r>
    </w:p>
    <w:p w:rsidR="00FA37EB" w:rsidRDefault="00FA37EB" w:rsidP="00FA37EB">
      <w:pPr>
        <w:ind w:left="720" w:hanging="436"/>
        <w:rPr>
          <w:rFonts w:ascii="Arial" w:hAnsi="Arial" w:cs="Arial"/>
          <w:sz w:val="22"/>
          <w:szCs w:val="22"/>
        </w:rPr>
      </w:pPr>
    </w:p>
    <w:p w:rsidR="006E3BBA" w:rsidRPr="002F564B" w:rsidRDefault="00C2567C" w:rsidP="006C26CA">
      <w:pPr>
        <w:numPr>
          <w:ilvl w:val="0"/>
          <w:numId w:val="6"/>
        </w:numPr>
        <w:tabs>
          <w:tab w:val="clear" w:pos="1080"/>
          <w:tab w:val="num" w:pos="709"/>
        </w:tabs>
        <w:ind w:hanging="796"/>
        <w:rPr>
          <w:rFonts w:ascii="Arial" w:hAnsi="Arial" w:cs="Arial"/>
          <w:b/>
          <w:bCs/>
          <w:sz w:val="22"/>
          <w:szCs w:val="22"/>
          <w:u w:val="single"/>
        </w:rPr>
      </w:pPr>
      <w:r>
        <w:rPr>
          <w:rFonts w:ascii="Arial" w:hAnsi="Arial" w:cs="Arial"/>
          <w:b/>
          <w:bCs/>
          <w:sz w:val="22"/>
          <w:szCs w:val="22"/>
          <w:u w:val="single"/>
        </w:rPr>
        <w:t xml:space="preserve">Corporate </w:t>
      </w:r>
      <w:r w:rsidR="006E3BBA" w:rsidRPr="002F564B">
        <w:rPr>
          <w:rFonts w:ascii="Arial" w:hAnsi="Arial" w:cs="Arial"/>
          <w:b/>
          <w:bCs/>
          <w:sz w:val="22"/>
          <w:szCs w:val="22"/>
          <w:u w:val="single"/>
        </w:rPr>
        <w:t>R</w:t>
      </w:r>
      <w:r w:rsidR="002F564B" w:rsidRPr="002F564B">
        <w:rPr>
          <w:rFonts w:ascii="Arial" w:hAnsi="Arial" w:cs="Arial"/>
          <w:b/>
          <w:bCs/>
          <w:sz w:val="22"/>
          <w:szCs w:val="22"/>
          <w:u w:val="single"/>
        </w:rPr>
        <w:t xml:space="preserve">isk </w:t>
      </w:r>
      <w:r>
        <w:rPr>
          <w:rFonts w:ascii="Arial" w:hAnsi="Arial" w:cs="Arial"/>
          <w:b/>
          <w:bCs/>
          <w:sz w:val="22"/>
          <w:szCs w:val="22"/>
          <w:u w:val="single"/>
        </w:rPr>
        <w:t>Exceptions</w:t>
      </w:r>
    </w:p>
    <w:p w:rsidR="006E3BBA" w:rsidRDefault="006E3BBA" w:rsidP="006E3BBA">
      <w:pPr>
        <w:ind w:left="720"/>
        <w:rPr>
          <w:rFonts w:ascii="Arial" w:hAnsi="Arial" w:cs="Arial"/>
          <w:b/>
          <w:bCs/>
          <w:sz w:val="22"/>
          <w:szCs w:val="22"/>
        </w:rPr>
      </w:pPr>
    </w:p>
    <w:p w:rsidR="00C2567C" w:rsidRPr="00C2567C" w:rsidRDefault="00C2567C" w:rsidP="00C2567C">
      <w:pPr>
        <w:ind w:left="720"/>
        <w:rPr>
          <w:rFonts w:ascii="Arial" w:hAnsi="Arial" w:cs="Arial"/>
          <w:b/>
          <w:bCs/>
          <w:sz w:val="22"/>
          <w:szCs w:val="22"/>
        </w:rPr>
      </w:pPr>
      <w:r w:rsidRPr="00C2567C">
        <w:rPr>
          <w:rFonts w:ascii="Arial" w:hAnsi="Arial" w:cs="Arial"/>
          <w:b/>
          <w:bCs/>
          <w:sz w:val="22"/>
          <w:szCs w:val="22"/>
        </w:rPr>
        <w:t>Red:</w:t>
      </w:r>
    </w:p>
    <w:p w:rsidR="00C2567C" w:rsidRDefault="00C2567C" w:rsidP="006E3BBA">
      <w:pPr>
        <w:ind w:left="720"/>
        <w:rPr>
          <w:rFonts w:ascii="Arial" w:hAnsi="Arial" w:cs="Arial"/>
          <w:b/>
          <w:bCs/>
          <w:sz w:val="22"/>
          <w:szCs w:val="22"/>
        </w:rPr>
      </w:pPr>
    </w:p>
    <w:p w:rsidR="006E3BBA" w:rsidRPr="00D63C56" w:rsidRDefault="006C26CA" w:rsidP="006C26CA">
      <w:pPr>
        <w:ind w:left="709" w:hanging="425"/>
        <w:rPr>
          <w:rFonts w:ascii="Arial" w:hAnsi="Arial" w:cs="Arial"/>
          <w:bCs/>
          <w:sz w:val="22"/>
          <w:szCs w:val="22"/>
        </w:rPr>
      </w:pPr>
      <w:r w:rsidRPr="00D63C56">
        <w:rPr>
          <w:rFonts w:ascii="Arial" w:hAnsi="Arial" w:cs="Arial"/>
          <w:bCs/>
          <w:sz w:val="22"/>
          <w:szCs w:val="22"/>
        </w:rPr>
        <w:t>4.1</w:t>
      </w:r>
      <w:r w:rsidRPr="00D63C56">
        <w:rPr>
          <w:rFonts w:ascii="Arial" w:hAnsi="Arial" w:cs="Arial"/>
          <w:bCs/>
          <w:sz w:val="22"/>
          <w:szCs w:val="22"/>
        </w:rPr>
        <w:tab/>
      </w:r>
      <w:r w:rsidR="006E3BBA" w:rsidRPr="00D63C56">
        <w:rPr>
          <w:rFonts w:ascii="Arial" w:hAnsi="Arial" w:cs="Arial"/>
          <w:bCs/>
          <w:sz w:val="22"/>
          <w:szCs w:val="22"/>
        </w:rPr>
        <w:t xml:space="preserve">The Corporate risk register </w:t>
      </w:r>
      <w:r w:rsidR="00F165C7" w:rsidRPr="00D63C56">
        <w:rPr>
          <w:rFonts w:ascii="Arial" w:hAnsi="Arial" w:cs="Arial"/>
          <w:bCs/>
          <w:sz w:val="22"/>
          <w:szCs w:val="22"/>
        </w:rPr>
        <w:t>w</w:t>
      </w:r>
      <w:r w:rsidR="006E3BBA" w:rsidRPr="00D63C56">
        <w:rPr>
          <w:rFonts w:ascii="Arial" w:hAnsi="Arial" w:cs="Arial"/>
          <w:bCs/>
          <w:sz w:val="22"/>
          <w:szCs w:val="22"/>
        </w:rPr>
        <w:t xml:space="preserve">as reviewed in the </w:t>
      </w:r>
      <w:r w:rsidR="00C65431" w:rsidRPr="00D63C56">
        <w:rPr>
          <w:rFonts w:ascii="Arial" w:hAnsi="Arial" w:cs="Arial"/>
          <w:bCs/>
          <w:sz w:val="22"/>
          <w:szCs w:val="22"/>
        </w:rPr>
        <w:t>first</w:t>
      </w:r>
      <w:r w:rsidR="006E3BBA" w:rsidRPr="00D63C56">
        <w:rPr>
          <w:rFonts w:ascii="Arial" w:hAnsi="Arial" w:cs="Arial"/>
          <w:bCs/>
          <w:sz w:val="22"/>
          <w:szCs w:val="22"/>
        </w:rPr>
        <w:t xml:space="preserve"> quarter of the year </w:t>
      </w:r>
      <w:r w:rsidR="00F165C7" w:rsidRPr="00D63C56">
        <w:rPr>
          <w:rFonts w:ascii="Arial" w:hAnsi="Arial" w:cs="Arial"/>
          <w:bCs/>
          <w:sz w:val="22"/>
          <w:szCs w:val="22"/>
        </w:rPr>
        <w:t>and then updated to include one red risk relating to Medium Term Financial Planning following the announcements contained in the Chancellor’s Summer Budget in July which have significant ramifications for the Council’s Medium Term Financial Plan, and in particular the Housing Revenue Account.</w:t>
      </w:r>
    </w:p>
    <w:p w:rsidR="00C2567C" w:rsidRPr="00D63C56" w:rsidRDefault="00C2567C" w:rsidP="006C26CA">
      <w:pPr>
        <w:ind w:left="709" w:hanging="425"/>
        <w:rPr>
          <w:rFonts w:ascii="Arial" w:hAnsi="Arial" w:cs="Arial"/>
          <w:bCs/>
          <w:sz w:val="22"/>
          <w:szCs w:val="22"/>
        </w:rPr>
      </w:pPr>
    </w:p>
    <w:p w:rsidR="00C2567C" w:rsidRPr="00D63C56" w:rsidRDefault="00C2567C" w:rsidP="00C2567C">
      <w:pPr>
        <w:ind w:left="709"/>
        <w:rPr>
          <w:rFonts w:ascii="Arial" w:hAnsi="Arial" w:cs="Arial"/>
          <w:b/>
          <w:bCs/>
          <w:sz w:val="22"/>
          <w:szCs w:val="22"/>
        </w:rPr>
      </w:pPr>
      <w:r w:rsidRPr="00D63C56">
        <w:rPr>
          <w:rFonts w:ascii="Arial" w:hAnsi="Arial" w:cs="Arial"/>
          <w:b/>
          <w:bCs/>
          <w:sz w:val="22"/>
          <w:szCs w:val="22"/>
        </w:rPr>
        <w:t>Amber:</w:t>
      </w:r>
    </w:p>
    <w:p w:rsidR="00C2567C" w:rsidRPr="00D63C56" w:rsidRDefault="00C2567C" w:rsidP="006C26CA">
      <w:pPr>
        <w:ind w:left="709" w:hanging="425"/>
        <w:rPr>
          <w:rFonts w:ascii="Arial" w:hAnsi="Arial" w:cs="Arial"/>
          <w:bCs/>
          <w:sz w:val="22"/>
          <w:szCs w:val="22"/>
        </w:rPr>
      </w:pPr>
    </w:p>
    <w:p w:rsidR="00F165C7" w:rsidRPr="00D63C56" w:rsidRDefault="00C2567C" w:rsidP="00C65431">
      <w:pPr>
        <w:ind w:left="709" w:hanging="425"/>
        <w:rPr>
          <w:rFonts w:ascii="Arial" w:hAnsi="Arial" w:cs="Arial"/>
          <w:bCs/>
          <w:sz w:val="22"/>
          <w:szCs w:val="22"/>
        </w:rPr>
      </w:pPr>
      <w:r w:rsidRPr="00D63C56">
        <w:rPr>
          <w:rFonts w:ascii="Arial" w:hAnsi="Arial" w:cs="Arial"/>
          <w:bCs/>
          <w:sz w:val="22"/>
          <w:szCs w:val="22"/>
        </w:rPr>
        <w:t>4.2</w:t>
      </w:r>
      <w:r w:rsidRPr="00D63C56">
        <w:rPr>
          <w:rFonts w:ascii="Arial" w:hAnsi="Arial" w:cs="Arial"/>
          <w:bCs/>
          <w:sz w:val="22"/>
          <w:szCs w:val="22"/>
        </w:rPr>
        <w:tab/>
      </w:r>
      <w:r w:rsidR="006B31B9" w:rsidRPr="00D63C56">
        <w:rPr>
          <w:rFonts w:ascii="Arial" w:hAnsi="Arial" w:cs="Arial"/>
          <w:bCs/>
          <w:sz w:val="22"/>
          <w:szCs w:val="22"/>
        </w:rPr>
        <w:t xml:space="preserve">There are </w:t>
      </w:r>
      <w:r w:rsidR="00D76ABA">
        <w:rPr>
          <w:rFonts w:ascii="Arial" w:hAnsi="Arial" w:cs="Arial"/>
          <w:bCs/>
          <w:sz w:val="22"/>
          <w:szCs w:val="22"/>
        </w:rPr>
        <w:t>three</w:t>
      </w:r>
      <w:r w:rsidR="00D76ABA" w:rsidRPr="00D63C56">
        <w:rPr>
          <w:rFonts w:ascii="Arial" w:hAnsi="Arial" w:cs="Arial"/>
          <w:bCs/>
          <w:sz w:val="22"/>
          <w:szCs w:val="22"/>
        </w:rPr>
        <w:t xml:space="preserve"> </w:t>
      </w:r>
      <w:r w:rsidR="006B31B9" w:rsidRPr="00D63C56">
        <w:rPr>
          <w:rFonts w:ascii="Arial" w:hAnsi="Arial" w:cs="Arial"/>
          <w:bCs/>
          <w:sz w:val="22"/>
          <w:szCs w:val="22"/>
        </w:rPr>
        <w:t>amber risks identified on the Corporate Risk Register relating to</w:t>
      </w:r>
      <w:r w:rsidR="00F165C7" w:rsidRPr="00D63C56">
        <w:rPr>
          <w:rFonts w:ascii="Arial" w:hAnsi="Arial" w:cs="Arial"/>
          <w:bCs/>
          <w:sz w:val="22"/>
          <w:szCs w:val="22"/>
        </w:rPr>
        <w:t>:</w:t>
      </w:r>
    </w:p>
    <w:p w:rsidR="00F165C7" w:rsidRPr="00D63C56" w:rsidRDefault="00F165C7" w:rsidP="00F165C7">
      <w:pPr>
        <w:pStyle w:val="ListParagraph"/>
        <w:numPr>
          <w:ilvl w:val="0"/>
          <w:numId w:val="16"/>
        </w:numPr>
        <w:rPr>
          <w:rFonts w:ascii="Arial" w:hAnsi="Arial" w:cs="Arial"/>
          <w:bCs/>
          <w:sz w:val="22"/>
          <w:szCs w:val="22"/>
        </w:rPr>
      </w:pPr>
      <w:r w:rsidRPr="00D63C56">
        <w:rPr>
          <w:rFonts w:ascii="Arial" w:hAnsi="Arial" w:cs="Arial"/>
          <w:bCs/>
          <w:sz w:val="22"/>
          <w:szCs w:val="22"/>
        </w:rPr>
        <w:t xml:space="preserve">resilience of the ICT function due to a number of projects running </w:t>
      </w:r>
      <w:r w:rsidR="00A441CC" w:rsidRPr="00D63C56">
        <w:rPr>
          <w:rFonts w:ascii="Arial" w:hAnsi="Arial" w:cs="Arial"/>
          <w:bCs/>
          <w:sz w:val="22"/>
          <w:szCs w:val="22"/>
        </w:rPr>
        <w:t>concurrently, limited resources with the correct skills, and a number of vacancies</w:t>
      </w:r>
    </w:p>
    <w:p w:rsidR="00F165C7" w:rsidRPr="00D63C56" w:rsidRDefault="00AE03D4" w:rsidP="00F165C7">
      <w:pPr>
        <w:pStyle w:val="ListParagraph"/>
        <w:numPr>
          <w:ilvl w:val="0"/>
          <w:numId w:val="16"/>
        </w:numPr>
        <w:rPr>
          <w:rFonts w:ascii="Arial" w:hAnsi="Arial" w:cs="Arial"/>
          <w:bCs/>
          <w:sz w:val="22"/>
          <w:szCs w:val="22"/>
        </w:rPr>
      </w:pPr>
      <w:r w:rsidRPr="00D63C56">
        <w:rPr>
          <w:rFonts w:ascii="Arial" w:hAnsi="Arial" w:cs="Arial"/>
          <w:bCs/>
          <w:sz w:val="22"/>
          <w:szCs w:val="22"/>
        </w:rPr>
        <w:t>the risk of the potential reduc</w:t>
      </w:r>
      <w:r w:rsidR="00F165C7" w:rsidRPr="00D63C56">
        <w:rPr>
          <w:rFonts w:ascii="Arial" w:hAnsi="Arial" w:cs="Arial"/>
          <w:bCs/>
          <w:sz w:val="22"/>
          <w:szCs w:val="22"/>
        </w:rPr>
        <w:t>tion in funding to our partners</w:t>
      </w:r>
    </w:p>
    <w:p w:rsidR="00C65431" w:rsidRPr="00D63C56" w:rsidRDefault="00D63C56" w:rsidP="00F165C7">
      <w:pPr>
        <w:pStyle w:val="ListParagraph"/>
        <w:numPr>
          <w:ilvl w:val="0"/>
          <w:numId w:val="16"/>
        </w:numPr>
        <w:rPr>
          <w:rFonts w:ascii="Arial" w:hAnsi="Arial" w:cs="Arial"/>
          <w:bCs/>
          <w:sz w:val="22"/>
          <w:szCs w:val="22"/>
        </w:rPr>
      </w:pPr>
      <w:r w:rsidRPr="00D63C56">
        <w:rPr>
          <w:rFonts w:ascii="Arial" w:hAnsi="Arial" w:cs="Arial"/>
          <w:bCs/>
          <w:sz w:val="22"/>
          <w:szCs w:val="22"/>
        </w:rPr>
        <w:t>recruitment and retention issues meaning that key posts are left vacant or filled with temporary staff</w:t>
      </w:r>
    </w:p>
    <w:p w:rsidR="00FB48DF" w:rsidRDefault="00FB48DF" w:rsidP="006C26CA">
      <w:pPr>
        <w:ind w:left="709" w:hanging="425"/>
        <w:rPr>
          <w:rFonts w:ascii="Arial" w:hAnsi="Arial" w:cs="Arial"/>
          <w:bCs/>
          <w:sz w:val="22"/>
          <w:szCs w:val="22"/>
        </w:rPr>
      </w:pPr>
    </w:p>
    <w:sectPr w:rsidR="00FB48DF" w:rsidSect="002F564B">
      <w:footerReference w:type="default" r:id="rId8"/>
      <w:pgSz w:w="11906" w:h="16838" w:code="9"/>
      <w:pgMar w:top="902" w:right="352" w:bottom="1440" w:left="3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F7" w:rsidRDefault="002262F7">
      <w:r>
        <w:separator/>
      </w:r>
    </w:p>
  </w:endnote>
  <w:endnote w:type="continuationSeparator" w:id="0">
    <w:p w:rsidR="002262F7" w:rsidRDefault="002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7E" w:rsidRDefault="0054537E" w:rsidP="00102A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F7" w:rsidRDefault="002262F7">
      <w:r>
        <w:separator/>
      </w:r>
    </w:p>
  </w:footnote>
  <w:footnote w:type="continuationSeparator" w:id="0">
    <w:p w:rsidR="002262F7" w:rsidRDefault="0022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13F"/>
    <w:multiLevelType w:val="hybridMultilevel"/>
    <w:tmpl w:val="5E72BF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095D6292"/>
    <w:multiLevelType w:val="hybridMultilevel"/>
    <w:tmpl w:val="6EE60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3F0702"/>
    <w:multiLevelType w:val="hybridMultilevel"/>
    <w:tmpl w:val="F68E4822"/>
    <w:lvl w:ilvl="0" w:tplc="041A9F98">
      <w:start w:val="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D04B5C"/>
    <w:multiLevelType w:val="hybridMultilevel"/>
    <w:tmpl w:val="9AC27D5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nsid w:val="0D826828"/>
    <w:multiLevelType w:val="hybridMultilevel"/>
    <w:tmpl w:val="DC04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050AA"/>
    <w:multiLevelType w:val="hybridMultilevel"/>
    <w:tmpl w:val="BD8E6450"/>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1D54855"/>
    <w:multiLevelType w:val="hybridMultilevel"/>
    <w:tmpl w:val="F7424A66"/>
    <w:lvl w:ilvl="0" w:tplc="19982DA2">
      <w:start w:val="1"/>
      <w:numFmt w:val="decimal"/>
      <w:lvlText w:val="%1."/>
      <w:lvlJc w:val="left"/>
      <w:pPr>
        <w:ind w:left="1069"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8F2850"/>
    <w:multiLevelType w:val="hybridMultilevel"/>
    <w:tmpl w:val="26D28CE0"/>
    <w:lvl w:ilvl="0" w:tplc="372C00A6">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2E215600"/>
    <w:multiLevelType w:val="multilevel"/>
    <w:tmpl w:val="8AD4691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3C302EB1"/>
    <w:multiLevelType w:val="hybridMultilevel"/>
    <w:tmpl w:val="8B384F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E27877"/>
    <w:multiLevelType w:val="hybridMultilevel"/>
    <w:tmpl w:val="86C6C5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E07E8"/>
    <w:multiLevelType w:val="hybridMultilevel"/>
    <w:tmpl w:val="E1BEE1A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593F0C58"/>
    <w:multiLevelType w:val="hybridMultilevel"/>
    <w:tmpl w:val="0556037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3">
    <w:nsid w:val="622C0B23"/>
    <w:multiLevelType w:val="hybridMultilevel"/>
    <w:tmpl w:val="20B298AC"/>
    <w:lvl w:ilvl="0" w:tplc="7C06539E">
      <w:start w:val="1"/>
      <w:numFmt w:val="decimal"/>
      <w:lvlText w:val="%1)"/>
      <w:lvlJc w:val="left"/>
      <w:pPr>
        <w:tabs>
          <w:tab w:val="num" w:pos="720"/>
        </w:tabs>
        <w:ind w:left="720" w:hanging="360"/>
      </w:pPr>
      <w:rPr>
        <w:rFonts w:cs="Times New Roman"/>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4316F85"/>
    <w:multiLevelType w:val="hybridMultilevel"/>
    <w:tmpl w:val="080E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EC2D53"/>
    <w:multiLevelType w:val="hybridMultilevel"/>
    <w:tmpl w:val="13980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
  </w:num>
  <w:num w:numId="4">
    <w:abstractNumId w:val="7"/>
  </w:num>
  <w:num w:numId="5">
    <w:abstractNumId w:val="1"/>
  </w:num>
  <w:num w:numId="6">
    <w:abstractNumId w:val="2"/>
  </w:num>
  <w:num w:numId="7">
    <w:abstractNumId w:val="13"/>
  </w:num>
  <w:num w:numId="8">
    <w:abstractNumId w:val="6"/>
  </w:num>
  <w:num w:numId="9">
    <w:abstractNumId w:val="12"/>
  </w:num>
  <w:num w:numId="10">
    <w:abstractNumId w:val="8"/>
  </w:num>
  <w:num w:numId="11">
    <w:abstractNumId w:val="14"/>
  </w:num>
  <w:num w:numId="12">
    <w:abstractNumId w:val="4"/>
  </w:num>
  <w:num w:numId="13">
    <w:abstractNumId w:val="10"/>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2"/>
    <w:rsid w:val="00002448"/>
    <w:rsid w:val="00002A2C"/>
    <w:rsid w:val="000200EB"/>
    <w:rsid w:val="000277A4"/>
    <w:rsid w:val="00031D25"/>
    <w:rsid w:val="00047892"/>
    <w:rsid w:val="00072889"/>
    <w:rsid w:val="00074099"/>
    <w:rsid w:val="00080EDD"/>
    <w:rsid w:val="000B27BD"/>
    <w:rsid w:val="000B3B71"/>
    <w:rsid w:val="000C7794"/>
    <w:rsid w:val="00102A79"/>
    <w:rsid w:val="00106A97"/>
    <w:rsid w:val="00130464"/>
    <w:rsid w:val="00153099"/>
    <w:rsid w:val="00155D2C"/>
    <w:rsid w:val="001902F6"/>
    <w:rsid w:val="00193940"/>
    <w:rsid w:val="001A3A62"/>
    <w:rsid w:val="001B486C"/>
    <w:rsid w:val="001F4514"/>
    <w:rsid w:val="00207373"/>
    <w:rsid w:val="00217131"/>
    <w:rsid w:val="002262F7"/>
    <w:rsid w:val="0023226E"/>
    <w:rsid w:val="002350A4"/>
    <w:rsid w:val="0024320A"/>
    <w:rsid w:val="00260B8F"/>
    <w:rsid w:val="00272A62"/>
    <w:rsid w:val="002973EF"/>
    <w:rsid w:val="002A3BA3"/>
    <w:rsid w:val="002A622F"/>
    <w:rsid w:val="002B20C7"/>
    <w:rsid w:val="002B4DE9"/>
    <w:rsid w:val="002B6D73"/>
    <w:rsid w:val="002D152F"/>
    <w:rsid w:val="002D1AF5"/>
    <w:rsid w:val="002D221B"/>
    <w:rsid w:val="002E5F48"/>
    <w:rsid w:val="002E62B5"/>
    <w:rsid w:val="002F383C"/>
    <w:rsid w:val="002F564B"/>
    <w:rsid w:val="002F6C75"/>
    <w:rsid w:val="00331DCA"/>
    <w:rsid w:val="0034725E"/>
    <w:rsid w:val="0039343C"/>
    <w:rsid w:val="003966B9"/>
    <w:rsid w:val="003A361D"/>
    <w:rsid w:val="003A5EB3"/>
    <w:rsid w:val="003B3CFF"/>
    <w:rsid w:val="003B4F0A"/>
    <w:rsid w:val="003C033B"/>
    <w:rsid w:val="003D1007"/>
    <w:rsid w:val="003D33AC"/>
    <w:rsid w:val="003D7653"/>
    <w:rsid w:val="003F1B8B"/>
    <w:rsid w:val="004072B5"/>
    <w:rsid w:val="00414619"/>
    <w:rsid w:val="00414F62"/>
    <w:rsid w:val="00415CBD"/>
    <w:rsid w:val="00440EDF"/>
    <w:rsid w:val="0046427F"/>
    <w:rsid w:val="00471C87"/>
    <w:rsid w:val="00483F5E"/>
    <w:rsid w:val="0049136D"/>
    <w:rsid w:val="00494DE9"/>
    <w:rsid w:val="004A0837"/>
    <w:rsid w:val="004D016F"/>
    <w:rsid w:val="004D221E"/>
    <w:rsid w:val="004E3A4B"/>
    <w:rsid w:val="004E4312"/>
    <w:rsid w:val="004F37FC"/>
    <w:rsid w:val="00510361"/>
    <w:rsid w:val="00513700"/>
    <w:rsid w:val="005137FD"/>
    <w:rsid w:val="00525440"/>
    <w:rsid w:val="005313DC"/>
    <w:rsid w:val="00535F45"/>
    <w:rsid w:val="00540C6C"/>
    <w:rsid w:val="0054537E"/>
    <w:rsid w:val="005603FC"/>
    <w:rsid w:val="00563A52"/>
    <w:rsid w:val="005932BF"/>
    <w:rsid w:val="005949A3"/>
    <w:rsid w:val="00594F5D"/>
    <w:rsid w:val="005953C6"/>
    <w:rsid w:val="005B1F42"/>
    <w:rsid w:val="005B7B31"/>
    <w:rsid w:val="005C0AD8"/>
    <w:rsid w:val="005E19E8"/>
    <w:rsid w:val="005E1EAE"/>
    <w:rsid w:val="00600F78"/>
    <w:rsid w:val="00620057"/>
    <w:rsid w:val="0062080A"/>
    <w:rsid w:val="00620EDB"/>
    <w:rsid w:val="00620F90"/>
    <w:rsid w:val="00636AA3"/>
    <w:rsid w:val="006424BA"/>
    <w:rsid w:val="006444D3"/>
    <w:rsid w:val="00650980"/>
    <w:rsid w:val="0066182C"/>
    <w:rsid w:val="006935CF"/>
    <w:rsid w:val="00695D4A"/>
    <w:rsid w:val="006A0E26"/>
    <w:rsid w:val="006A697A"/>
    <w:rsid w:val="006B206F"/>
    <w:rsid w:val="006B31B9"/>
    <w:rsid w:val="006B5031"/>
    <w:rsid w:val="006B7005"/>
    <w:rsid w:val="006C26CA"/>
    <w:rsid w:val="006C5DC3"/>
    <w:rsid w:val="006E3BBA"/>
    <w:rsid w:val="006E4906"/>
    <w:rsid w:val="006F0BA6"/>
    <w:rsid w:val="00702768"/>
    <w:rsid w:val="00711113"/>
    <w:rsid w:val="00715236"/>
    <w:rsid w:val="00725E03"/>
    <w:rsid w:val="00731114"/>
    <w:rsid w:val="00734299"/>
    <w:rsid w:val="007429EF"/>
    <w:rsid w:val="00763F99"/>
    <w:rsid w:val="00770AD4"/>
    <w:rsid w:val="00772AA3"/>
    <w:rsid w:val="0077614A"/>
    <w:rsid w:val="007972ED"/>
    <w:rsid w:val="007A612F"/>
    <w:rsid w:val="007A7547"/>
    <w:rsid w:val="007B1B09"/>
    <w:rsid w:val="007E0256"/>
    <w:rsid w:val="007E33E1"/>
    <w:rsid w:val="007E6B44"/>
    <w:rsid w:val="007E6CAD"/>
    <w:rsid w:val="00802B87"/>
    <w:rsid w:val="008123B5"/>
    <w:rsid w:val="00814392"/>
    <w:rsid w:val="008173C2"/>
    <w:rsid w:val="00827285"/>
    <w:rsid w:val="008421E9"/>
    <w:rsid w:val="008433D6"/>
    <w:rsid w:val="0084455A"/>
    <w:rsid w:val="00850BC1"/>
    <w:rsid w:val="00875B53"/>
    <w:rsid w:val="00885646"/>
    <w:rsid w:val="008A32F2"/>
    <w:rsid w:val="008A4D49"/>
    <w:rsid w:val="008C00C8"/>
    <w:rsid w:val="008C175B"/>
    <w:rsid w:val="008D0979"/>
    <w:rsid w:val="008D4B24"/>
    <w:rsid w:val="008E1275"/>
    <w:rsid w:val="008E2C7E"/>
    <w:rsid w:val="008E2D59"/>
    <w:rsid w:val="009147CB"/>
    <w:rsid w:val="00926987"/>
    <w:rsid w:val="00933D36"/>
    <w:rsid w:val="00935305"/>
    <w:rsid w:val="00940296"/>
    <w:rsid w:val="00964484"/>
    <w:rsid w:val="0096633B"/>
    <w:rsid w:val="009700F1"/>
    <w:rsid w:val="009741D9"/>
    <w:rsid w:val="009962B5"/>
    <w:rsid w:val="00997585"/>
    <w:rsid w:val="009A2F88"/>
    <w:rsid w:val="009A7294"/>
    <w:rsid w:val="009B2677"/>
    <w:rsid w:val="009B681F"/>
    <w:rsid w:val="009C2057"/>
    <w:rsid w:val="009C779D"/>
    <w:rsid w:val="00A06334"/>
    <w:rsid w:val="00A20CC7"/>
    <w:rsid w:val="00A2229C"/>
    <w:rsid w:val="00A441CC"/>
    <w:rsid w:val="00A44EC2"/>
    <w:rsid w:val="00A609C1"/>
    <w:rsid w:val="00A74203"/>
    <w:rsid w:val="00AB78A7"/>
    <w:rsid w:val="00AE03D4"/>
    <w:rsid w:val="00AE0CCA"/>
    <w:rsid w:val="00AE1BA2"/>
    <w:rsid w:val="00B00048"/>
    <w:rsid w:val="00B027EB"/>
    <w:rsid w:val="00B02849"/>
    <w:rsid w:val="00B27023"/>
    <w:rsid w:val="00B27F5F"/>
    <w:rsid w:val="00B475D1"/>
    <w:rsid w:val="00B554B4"/>
    <w:rsid w:val="00B64653"/>
    <w:rsid w:val="00B77B31"/>
    <w:rsid w:val="00B80AE1"/>
    <w:rsid w:val="00B850B3"/>
    <w:rsid w:val="00B90D36"/>
    <w:rsid w:val="00B93657"/>
    <w:rsid w:val="00B94E2B"/>
    <w:rsid w:val="00BA4B7B"/>
    <w:rsid w:val="00BB7645"/>
    <w:rsid w:val="00BC2604"/>
    <w:rsid w:val="00BC67CD"/>
    <w:rsid w:val="00BD70FB"/>
    <w:rsid w:val="00C163A0"/>
    <w:rsid w:val="00C17D14"/>
    <w:rsid w:val="00C200C1"/>
    <w:rsid w:val="00C21CD5"/>
    <w:rsid w:val="00C2567C"/>
    <w:rsid w:val="00C3746C"/>
    <w:rsid w:val="00C40742"/>
    <w:rsid w:val="00C532B5"/>
    <w:rsid w:val="00C55D07"/>
    <w:rsid w:val="00C65431"/>
    <w:rsid w:val="00C93629"/>
    <w:rsid w:val="00C978D2"/>
    <w:rsid w:val="00CA1559"/>
    <w:rsid w:val="00CB0BCF"/>
    <w:rsid w:val="00CB2D67"/>
    <w:rsid w:val="00CB45CA"/>
    <w:rsid w:val="00CC3DDF"/>
    <w:rsid w:val="00CE5EE3"/>
    <w:rsid w:val="00D01C8F"/>
    <w:rsid w:val="00D109CC"/>
    <w:rsid w:val="00D30D2C"/>
    <w:rsid w:val="00D31CC1"/>
    <w:rsid w:val="00D37903"/>
    <w:rsid w:val="00D40D12"/>
    <w:rsid w:val="00D63C56"/>
    <w:rsid w:val="00D70B3F"/>
    <w:rsid w:val="00D75AFA"/>
    <w:rsid w:val="00D76ABA"/>
    <w:rsid w:val="00D90462"/>
    <w:rsid w:val="00D92F29"/>
    <w:rsid w:val="00DA38AA"/>
    <w:rsid w:val="00DD6950"/>
    <w:rsid w:val="00DE020A"/>
    <w:rsid w:val="00DE1CE8"/>
    <w:rsid w:val="00DF21B4"/>
    <w:rsid w:val="00DF31BA"/>
    <w:rsid w:val="00DF3593"/>
    <w:rsid w:val="00E101FF"/>
    <w:rsid w:val="00E1434E"/>
    <w:rsid w:val="00E16644"/>
    <w:rsid w:val="00E25C55"/>
    <w:rsid w:val="00E37572"/>
    <w:rsid w:val="00E440F0"/>
    <w:rsid w:val="00E65B5C"/>
    <w:rsid w:val="00E671E6"/>
    <w:rsid w:val="00EA5A51"/>
    <w:rsid w:val="00EA7EBE"/>
    <w:rsid w:val="00EB2CDE"/>
    <w:rsid w:val="00EB3859"/>
    <w:rsid w:val="00EB3B94"/>
    <w:rsid w:val="00EB6F3E"/>
    <w:rsid w:val="00EC1A10"/>
    <w:rsid w:val="00EC6932"/>
    <w:rsid w:val="00ED532A"/>
    <w:rsid w:val="00EE3315"/>
    <w:rsid w:val="00EF5538"/>
    <w:rsid w:val="00EF7411"/>
    <w:rsid w:val="00F165C7"/>
    <w:rsid w:val="00F17CCB"/>
    <w:rsid w:val="00F2792F"/>
    <w:rsid w:val="00F37CE6"/>
    <w:rsid w:val="00F43799"/>
    <w:rsid w:val="00F46048"/>
    <w:rsid w:val="00F53051"/>
    <w:rsid w:val="00F64D82"/>
    <w:rsid w:val="00F71148"/>
    <w:rsid w:val="00F72184"/>
    <w:rsid w:val="00F722DC"/>
    <w:rsid w:val="00FA031A"/>
    <w:rsid w:val="00FA37EB"/>
    <w:rsid w:val="00FA59AB"/>
    <w:rsid w:val="00FB48DF"/>
    <w:rsid w:val="00FC094F"/>
    <w:rsid w:val="00FE5E5F"/>
    <w:rsid w:val="00FF1369"/>
    <w:rsid w:val="00FF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table" w:styleId="TableGrid">
    <w:name w:val="Table Grid"/>
    <w:basedOn w:val="TableNormal"/>
    <w:uiPriority w:val="59"/>
    <w:rsid w:val="002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36D"/>
    <w:pPr>
      <w:tabs>
        <w:tab w:val="center" w:pos="4513"/>
        <w:tab w:val="right" w:pos="9026"/>
      </w:tabs>
    </w:pPr>
  </w:style>
  <w:style w:type="character" w:customStyle="1" w:styleId="HeaderChar">
    <w:name w:val="Header Char"/>
    <w:basedOn w:val="DefaultParagraphFont"/>
    <w:link w:val="Header"/>
    <w:uiPriority w:val="99"/>
    <w:locked/>
    <w:rsid w:val="0049136D"/>
    <w:rPr>
      <w:rFonts w:cs="Times New Roman"/>
      <w:sz w:val="24"/>
      <w:szCs w:val="24"/>
    </w:rPr>
  </w:style>
  <w:style w:type="paragraph" w:styleId="BalloonText">
    <w:name w:val="Balloon Text"/>
    <w:basedOn w:val="Normal"/>
    <w:link w:val="BalloonTextChar"/>
    <w:uiPriority w:val="99"/>
    <w:semiHidden/>
    <w:unhideWhenUsed/>
    <w:rsid w:val="00CA1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559"/>
    <w:rPr>
      <w:rFonts w:ascii="Tahoma" w:hAnsi="Tahoma" w:cs="Tahoma"/>
      <w:sz w:val="16"/>
      <w:szCs w:val="16"/>
    </w:rPr>
  </w:style>
  <w:style w:type="character" w:styleId="CommentReference">
    <w:name w:val="annotation reference"/>
    <w:basedOn w:val="DefaultParagraphFont"/>
    <w:uiPriority w:val="99"/>
    <w:semiHidden/>
    <w:unhideWhenUsed/>
    <w:rsid w:val="008C00C8"/>
    <w:rPr>
      <w:rFonts w:cs="Times New Roman"/>
      <w:sz w:val="16"/>
      <w:szCs w:val="16"/>
    </w:rPr>
  </w:style>
  <w:style w:type="paragraph" w:styleId="CommentText">
    <w:name w:val="annotation text"/>
    <w:basedOn w:val="Normal"/>
    <w:link w:val="CommentTextChar"/>
    <w:uiPriority w:val="99"/>
    <w:semiHidden/>
    <w:unhideWhenUsed/>
    <w:rsid w:val="008C00C8"/>
    <w:rPr>
      <w:sz w:val="20"/>
      <w:szCs w:val="20"/>
    </w:rPr>
  </w:style>
  <w:style w:type="character" w:customStyle="1" w:styleId="CommentTextChar">
    <w:name w:val="Comment Text Char"/>
    <w:basedOn w:val="DefaultParagraphFont"/>
    <w:link w:val="CommentText"/>
    <w:uiPriority w:val="99"/>
    <w:semiHidden/>
    <w:locked/>
    <w:rsid w:val="008C00C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00C8"/>
    <w:rPr>
      <w:b/>
      <w:bCs/>
    </w:rPr>
  </w:style>
  <w:style w:type="character" w:customStyle="1" w:styleId="CommentSubjectChar">
    <w:name w:val="Comment Subject Char"/>
    <w:basedOn w:val="CommentTextChar"/>
    <w:link w:val="CommentSubject"/>
    <w:uiPriority w:val="99"/>
    <w:semiHidden/>
    <w:locked/>
    <w:rsid w:val="008C00C8"/>
    <w:rPr>
      <w:rFonts w:cs="Times New Roman"/>
      <w:b/>
      <w:bCs/>
      <w:sz w:val="20"/>
      <w:szCs w:val="20"/>
    </w:rPr>
  </w:style>
  <w:style w:type="paragraph" w:styleId="ListParagraph">
    <w:name w:val="List Paragraph"/>
    <w:basedOn w:val="Normal"/>
    <w:uiPriority w:val="34"/>
    <w:qFormat/>
    <w:rsid w:val="00875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table" w:styleId="TableGrid">
    <w:name w:val="Table Grid"/>
    <w:basedOn w:val="TableNormal"/>
    <w:uiPriority w:val="59"/>
    <w:rsid w:val="002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36D"/>
    <w:pPr>
      <w:tabs>
        <w:tab w:val="center" w:pos="4513"/>
        <w:tab w:val="right" w:pos="9026"/>
      </w:tabs>
    </w:pPr>
  </w:style>
  <w:style w:type="character" w:customStyle="1" w:styleId="HeaderChar">
    <w:name w:val="Header Char"/>
    <w:basedOn w:val="DefaultParagraphFont"/>
    <w:link w:val="Header"/>
    <w:uiPriority w:val="99"/>
    <w:locked/>
    <w:rsid w:val="0049136D"/>
    <w:rPr>
      <w:rFonts w:cs="Times New Roman"/>
      <w:sz w:val="24"/>
      <w:szCs w:val="24"/>
    </w:rPr>
  </w:style>
  <w:style w:type="paragraph" w:styleId="BalloonText">
    <w:name w:val="Balloon Text"/>
    <w:basedOn w:val="Normal"/>
    <w:link w:val="BalloonTextChar"/>
    <w:uiPriority w:val="99"/>
    <w:semiHidden/>
    <w:unhideWhenUsed/>
    <w:rsid w:val="00CA1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559"/>
    <w:rPr>
      <w:rFonts w:ascii="Tahoma" w:hAnsi="Tahoma" w:cs="Tahoma"/>
      <w:sz w:val="16"/>
      <w:szCs w:val="16"/>
    </w:rPr>
  </w:style>
  <w:style w:type="character" w:styleId="CommentReference">
    <w:name w:val="annotation reference"/>
    <w:basedOn w:val="DefaultParagraphFont"/>
    <w:uiPriority w:val="99"/>
    <w:semiHidden/>
    <w:unhideWhenUsed/>
    <w:rsid w:val="008C00C8"/>
    <w:rPr>
      <w:rFonts w:cs="Times New Roman"/>
      <w:sz w:val="16"/>
      <w:szCs w:val="16"/>
    </w:rPr>
  </w:style>
  <w:style w:type="paragraph" w:styleId="CommentText">
    <w:name w:val="annotation text"/>
    <w:basedOn w:val="Normal"/>
    <w:link w:val="CommentTextChar"/>
    <w:uiPriority w:val="99"/>
    <w:semiHidden/>
    <w:unhideWhenUsed/>
    <w:rsid w:val="008C00C8"/>
    <w:rPr>
      <w:sz w:val="20"/>
      <w:szCs w:val="20"/>
    </w:rPr>
  </w:style>
  <w:style w:type="character" w:customStyle="1" w:styleId="CommentTextChar">
    <w:name w:val="Comment Text Char"/>
    <w:basedOn w:val="DefaultParagraphFont"/>
    <w:link w:val="CommentText"/>
    <w:uiPriority w:val="99"/>
    <w:semiHidden/>
    <w:locked/>
    <w:rsid w:val="008C00C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00C8"/>
    <w:rPr>
      <w:b/>
      <w:bCs/>
    </w:rPr>
  </w:style>
  <w:style w:type="character" w:customStyle="1" w:styleId="CommentSubjectChar">
    <w:name w:val="Comment Subject Char"/>
    <w:basedOn w:val="CommentTextChar"/>
    <w:link w:val="CommentSubject"/>
    <w:uiPriority w:val="99"/>
    <w:semiHidden/>
    <w:locked/>
    <w:rsid w:val="008C00C8"/>
    <w:rPr>
      <w:rFonts w:cs="Times New Roman"/>
      <w:b/>
      <w:bCs/>
      <w:sz w:val="20"/>
      <w:szCs w:val="20"/>
    </w:rPr>
  </w:style>
  <w:style w:type="paragraph" w:styleId="ListParagraph">
    <w:name w:val="List Paragraph"/>
    <w:basedOn w:val="Normal"/>
    <w:uiPriority w:val="34"/>
    <w:qFormat/>
    <w:rsid w:val="0087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2845">
      <w:bodyDiv w:val="1"/>
      <w:marLeft w:val="0"/>
      <w:marRight w:val="0"/>
      <w:marTop w:val="0"/>
      <w:marBottom w:val="0"/>
      <w:divBdr>
        <w:top w:val="none" w:sz="0" w:space="0" w:color="auto"/>
        <w:left w:val="none" w:sz="0" w:space="0" w:color="auto"/>
        <w:bottom w:val="none" w:sz="0" w:space="0" w:color="auto"/>
        <w:right w:val="none" w:sz="0" w:space="0" w:color="auto"/>
      </w:divBdr>
    </w:div>
    <w:div w:id="1063211234">
      <w:marLeft w:val="0"/>
      <w:marRight w:val="0"/>
      <w:marTop w:val="0"/>
      <w:marBottom w:val="0"/>
      <w:divBdr>
        <w:top w:val="none" w:sz="0" w:space="0" w:color="auto"/>
        <w:left w:val="none" w:sz="0" w:space="0" w:color="auto"/>
        <w:bottom w:val="none" w:sz="0" w:space="0" w:color="auto"/>
        <w:right w:val="none" w:sz="0" w:space="0" w:color="auto"/>
      </w:divBdr>
    </w:div>
    <w:div w:id="1063211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C1EEE89</Template>
  <TotalTime>2</TotalTime>
  <Pages>3</Pages>
  <Words>1205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3</cp:revision>
  <cp:lastPrinted>2015-11-10T13:10:00Z</cp:lastPrinted>
  <dcterms:created xsi:type="dcterms:W3CDTF">2015-11-12T13:57:00Z</dcterms:created>
  <dcterms:modified xsi:type="dcterms:W3CDTF">2015-11-13T08:55:00Z</dcterms:modified>
</cp:coreProperties>
</file>